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3C4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w:t>
      </w:r>
    </w:p>
    <w:p w14:paraId="4D4A39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7498D6DC"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3919F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21.06.2026</w:t>
            </w:r>
          </w:p>
        </w:tc>
      </w:tr>
      <w:tr w:rsidR="00000000" w14:paraId="59703CEC"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2677B5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реєстрації особою електронного документа)</w:t>
            </w:r>
          </w:p>
        </w:tc>
      </w:tr>
      <w:tr w:rsidR="00000000" w14:paraId="7FDF71A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41DE15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2024</w:t>
            </w:r>
          </w:p>
        </w:tc>
      </w:tr>
      <w:tr w:rsidR="00000000" w14:paraId="6F84C51E" w14:textId="77777777">
        <w:tblPrEx>
          <w:tblCellMar>
            <w:top w:w="0" w:type="dxa"/>
            <w:bottom w:w="0" w:type="dxa"/>
          </w:tblCellMar>
        </w:tblPrEx>
        <w:trPr>
          <w:trHeight w:val="300"/>
        </w:trPr>
        <w:tc>
          <w:tcPr>
            <w:tcW w:w="5230" w:type="dxa"/>
            <w:tcBorders>
              <w:top w:val="nil"/>
              <w:left w:val="nil"/>
              <w:bottom w:val="nil"/>
              <w:right w:val="nil"/>
            </w:tcBorders>
            <w:vAlign w:val="bottom"/>
          </w:tcPr>
          <w:p w14:paraId="3A19169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(вихідний реєстраційний номер електронного документа)</w:t>
            </w:r>
          </w:p>
        </w:tc>
      </w:tr>
    </w:tbl>
    <w:p w14:paraId="538B126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78D9F5A3" w14:textId="77777777">
        <w:tblPrEx>
          <w:tblCellMar>
            <w:top w:w="0" w:type="dxa"/>
            <w:bottom w:w="0" w:type="dxa"/>
          </w:tblCellMar>
        </w:tblPrEx>
        <w:trPr>
          <w:trHeight w:val="300"/>
        </w:trPr>
        <w:tc>
          <w:tcPr>
            <w:tcW w:w="10465" w:type="dxa"/>
            <w:tcBorders>
              <w:top w:val="nil"/>
              <w:left w:val="nil"/>
              <w:bottom w:val="nil"/>
              <w:right w:val="nil"/>
            </w:tcBorders>
            <w:vAlign w:val="bottom"/>
          </w:tcPr>
          <w:p w14:paraId="194EA3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5CB166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69F0729C"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1CA99ED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Корпоративний секретар</w:t>
            </w:r>
          </w:p>
        </w:tc>
        <w:tc>
          <w:tcPr>
            <w:tcW w:w="216" w:type="dxa"/>
            <w:tcBorders>
              <w:top w:val="nil"/>
              <w:left w:val="nil"/>
              <w:bottom w:val="nil"/>
              <w:right w:val="nil"/>
            </w:tcBorders>
          </w:tcPr>
          <w:p w14:paraId="323F9D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334" w:type="dxa"/>
            <w:tcBorders>
              <w:top w:val="nil"/>
              <w:left w:val="nil"/>
              <w:bottom w:val="single" w:sz="6" w:space="0" w:color="auto"/>
              <w:right w:val="nil"/>
            </w:tcBorders>
            <w:vAlign w:val="bottom"/>
          </w:tcPr>
          <w:p w14:paraId="4D94EF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216" w:type="dxa"/>
            <w:tcBorders>
              <w:top w:val="nil"/>
              <w:left w:val="nil"/>
              <w:bottom w:val="nil"/>
              <w:right w:val="nil"/>
            </w:tcBorders>
          </w:tcPr>
          <w:p w14:paraId="65AC46A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284" w:type="dxa"/>
            <w:tcBorders>
              <w:top w:val="nil"/>
              <w:left w:val="nil"/>
              <w:bottom w:val="single" w:sz="6" w:space="0" w:color="auto"/>
              <w:right w:val="nil"/>
            </w:tcBorders>
            <w:vAlign w:val="bottom"/>
          </w:tcPr>
          <w:p w14:paraId="1D1FD9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Мельник Ю.М.</w:t>
            </w:r>
          </w:p>
        </w:tc>
      </w:tr>
      <w:tr w:rsidR="00000000" w14:paraId="4180C732" w14:textId="77777777">
        <w:tblPrEx>
          <w:tblCellMar>
            <w:top w:w="0" w:type="dxa"/>
            <w:bottom w:w="0" w:type="dxa"/>
          </w:tblCellMar>
        </w:tblPrEx>
        <w:trPr>
          <w:trHeight w:val="200"/>
        </w:trPr>
        <w:tc>
          <w:tcPr>
            <w:tcW w:w="3415" w:type="dxa"/>
            <w:tcBorders>
              <w:top w:val="nil"/>
              <w:left w:val="nil"/>
              <w:bottom w:val="nil"/>
              <w:right w:val="nil"/>
            </w:tcBorders>
          </w:tcPr>
          <w:p w14:paraId="4869B3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1A236C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334" w:type="dxa"/>
            <w:tcBorders>
              <w:top w:val="nil"/>
              <w:left w:val="nil"/>
              <w:bottom w:val="nil"/>
              <w:right w:val="nil"/>
            </w:tcBorders>
          </w:tcPr>
          <w:p w14:paraId="5C14D0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58CB3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284" w:type="dxa"/>
            <w:tcBorders>
              <w:top w:val="nil"/>
              <w:left w:val="nil"/>
              <w:bottom w:val="nil"/>
              <w:right w:val="nil"/>
            </w:tcBorders>
          </w:tcPr>
          <w:p w14:paraId="21CFF1E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(прізвище та ініціали керівника або уповноваженої особи)</w:t>
            </w:r>
          </w:p>
        </w:tc>
      </w:tr>
    </w:tbl>
    <w:p w14:paraId="0466A8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pPr>
    </w:p>
    <w:p w14:paraId="715CE5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Річний звіт</w:t>
      </w:r>
    </w:p>
    <w:p w14:paraId="13DBE1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АКЦIОНЕРНЕ ТОВАРИСТВО "ЦЕНТР ФIН СЕРВIС" (35333145)</w:t>
      </w:r>
    </w:p>
    <w:p w14:paraId="756961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за 2024 рік</w:t>
      </w:r>
    </w:p>
    <w:p w14:paraId="66D5EA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p>
    <w:p w14:paraId="37995A0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Рішення про затвердження річного звіту: Рішення наглядової ради емітента від 19.06.2026, 05</w:t>
      </w:r>
    </w:p>
    <w:p w14:paraId="11205EB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21DE82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705270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25AF0E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06EF3B2E" w14:textId="77777777">
        <w:tblPrEx>
          <w:tblCellMar>
            <w:top w:w="0" w:type="dxa"/>
            <w:bottom w:w="0" w:type="dxa"/>
          </w:tblCellMar>
        </w:tblPrEx>
        <w:trPr>
          <w:trHeight w:val="300"/>
        </w:trPr>
        <w:tc>
          <w:tcPr>
            <w:tcW w:w="3415" w:type="dxa"/>
            <w:vMerge w:val="restart"/>
            <w:tcBorders>
              <w:top w:val="nil"/>
              <w:left w:val="nil"/>
              <w:bottom w:val="nil"/>
              <w:right w:val="nil"/>
            </w:tcBorders>
          </w:tcPr>
          <w:p w14:paraId="47C2068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7980AC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https://life.ingo.ua/about#documentation</w:t>
            </w:r>
          </w:p>
        </w:tc>
        <w:tc>
          <w:tcPr>
            <w:tcW w:w="1885" w:type="dxa"/>
            <w:tcBorders>
              <w:top w:val="nil"/>
              <w:left w:val="nil"/>
              <w:bottom w:val="single" w:sz="6" w:space="0" w:color="auto"/>
              <w:right w:val="nil"/>
            </w:tcBorders>
            <w:vAlign w:val="bottom"/>
          </w:tcPr>
          <w:p w14:paraId="5877CC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21.06.2026</w:t>
            </w:r>
          </w:p>
        </w:tc>
      </w:tr>
      <w:tr w:rsidR="00000000" w14:paraId="60A312C4" w14:textId="77777777">
        <w:tblPrEx>
          <w:tblCellMar>
            <w:top w:w="0" w:type="dxa"/>
            <w:bottom w:w="0" w:type="dxa"/>
          </w:tblCellMar>
        </w:tblPrEx>
        <w:trPr>
          <w:trHeight w:val="300"/>
        </w:trPr>
        <w:tc>
          <w:tcPr>
            <w:tcW w:w="3415" w:type="dxa"/>
            <w:vMerge/>
            <w:tcBorders>
              <w:top w:val="nil"/>
              <w:left w:val="nil"/>
              <w:bottom w:val="nil"/>
              <w:right w:val="nil"/>
            </w:tcBorders>
          </w:tcPr>
          <w:p w14:paraId="22BE14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5165" w:type="dxa"/>
            <w:tcBorders>
              <w:top w:val="nil"/>
              <w:left w:val="nil"/>
              <w:bottom w:val="nil"/>
              <w:right w:val="nil"/>
            </w:tcBorders>
            <w:vAlign w:val="bottom"/>
          </w:tcPr>
          <w:p w14:paraId="7117D7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(URL-адреса вебсайту)</w:t>
            </w:r>
          </w:p>
        </w:tc>
        <w:tc>
          <w:tcPr>
            <w:tcW w:w="1885" w:type="dxa"/>
            <w:tcBorders>
              <w:top w:val="nil"/>
              <w:left w:val="nil"/>
              <w:bottom w:val="nil"/>
              <w:right w:val="nil"/>
            </w:tcBorders>
            <w:vAlign w:val="bottom"/>
          </w:tcPr>
          <w:p w14:paraId="3ABC30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w:t>
            </w:r>
          </w:p>
        </w:tc>
      </w:tr>
    </w:tbl>
    <w:p w14:paraId="6B13C7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2240" w:h="15840"/>
          <w:pgMar w:top="570" w:right="720" w:bottom="570" w:left="720" w:header="708" w:footer="708" w:gutter="0"/>
          <w:cols w:space="720"/>
          <w:noEndnote/>
        </w:sectPr>
      </w:pPr>
    </w:p>
    <w:p w14:paraId="70D7E7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Пояснення щодо розкриття інформації</w:t>
      </w:r>
    </w:p>
    <w:p w14:paraId="25C737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Рiчна iнформацiя, яка розкрита Товариством включає всю iнформацiю, яку вимагає Рiшення Про затвердження Положення про розкриття iнформацiї емiтентами цiнних паперiв, а також особами, якi надають забезпечення за такими цiнними паперами №608 (надалi - Положення) та Закон України "Про ринки капiталу та органiзованi товарнi ринки". </w:t>
      </w:r>
    </w:p>
    <w:p w14:paraId="669AFE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 вiдсутня у змiстi, не подається з наступних причин: </w:t>
      </w:r>
    </w:p>
    <w:p w14:paraId="632AE4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усiх випускiв цiнних паперiв, за якими надається забезпечення вiдсутня, у зв'язку з тим, що емiтент не є особою, яка надає забезпечення. Iнформацiя щодо всiх осiб, якi надають забезпечення за зобов'язаннями емiтента вiдсутня, у зв'язку з тим, що за зобов'язаннями емiтента забезпечення не надаються. </w:t>
      </w:r>
    </w:p>
    <w:p w14:paraId="7F81BF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рейтингове агентство вiдсутня, у зв'язку з тим, що Товариство не зверталось за визначенням рейтингу до будь-яких агентств. </w:t>
      </w:r>
    </w:p>
    <w:p w14:paraId="2FA675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судовi справи не надається, оскiльки протягом звiтного року у Товариства вiдсутнi судовi справи, якi розглядалися та/чи за якими було вiдкрито провадження з позовними вимогами у розмiрi на суму 1 та бiльше вiдсоткiв активiв особи станом на початок звiтного року, стороною в яких виступає особа, її посадовi особи. </w:t>
      </w:r>
    </w:p>
    <w:p w14:paraId="1FE3873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Штрафнi санкцiї щодо особи вiдсутнi. Iнформацiя щодо володiння посадовими особами акцiями особи вiдсутня, у зв'язку з тим, що посадовi особи не володiють акцiями. </w:t>
      </w:r>
    </w:p>
    <w:p w14:paraId="76C66F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Органiзацiйна структура не розмiщена, оскiльки Товариство не публiкує органiзацiйну структуру на власному веб-сайтi, вказанi вимоги вiдсутнi у нормативно-правових актах Нацiонального банку України.</w:t>
      </w:r>
    </w:p>
    <w:p w14:paraId="35A579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щодо вартостi чистих активiв не надається, оскiльки ця iнформацiя не заповнюється страховиками вiдповiдно до Додатку 7 Положення.</w:t>
      </w:r>
    </w:p>
    <w:p w14:paraId="284471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обсяги виробництва та реалiзацiї основних видiв продукцiї та iнформацiя про собiвартiсть реалiзованої продукцiї не заповнювалась у зв'язку з тим, що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14:paraId="64D2E3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Вiдомостi про участь емiтента в iнших юридичних особох не розкривається, оскiльки емiтент не володiє будь-якими юридичними особами. </w:t>
      </w:r>
    </w:p>
    <w:p w14:paraId="0970148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31.12.2024 вiдокремлених пiдроздiлiв немає.</w:t>
      </w:r>
    </w:p>
    <w:p w14:paraId="2BD142E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щодо змiни прав на акцiї не включена до складу рiчної iнформацiї, оскiльки у звiтному перiодi не було змiни прав на акцiї. </w:t>
      </w:r>
    </w:p>
    <w:p w14:paraId="15FFB3E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Будь-якi обмеження за акцiями емiтента вiдсутнi. </w:t>
      </w:r>
    </w:p>
    <w:p w14:paraId="0DA4F8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Облiгацiї, iншi цiннi папери, деривативнi цiннi папери, борговi цiннi папери, цiльовi корпоративнi облiгацiї Товариство не випускало.</w:t>
      </w:r>
    </w:p>
    <w:p w14:paraId="0CEBF1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Власнi акцiї емiтентом не придбавалися. У працiвникiв емiтента цiннi папери (крiм акцiй) та/або акцiї такого емiтента вiдсутнi. </w:t>
      </w:r>
    </w:p>
    <w:p w14:paraId="529322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наявнiсть у власностi працiвникiв особи акцiй у розмiрi понад 0,1 % розмiру статутного капiталу не розкривається, тому що станом на 31.12.2024 у працiвникiв емiтента акцiй у розмiрi понад 0,1 вiдсотка розмiру статуного капiталу такого емiтента вiдсутнi. Обмежень щодо обiгу цiнних паперiв немає. </w:t>
      </w:r>
    </w:p>
    <w:p w14:paraId="71A26B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не розкривається, тому що будь-якi обмеження щодо голосуючих акцiй вiдсутнi. </w:t>
      </w:r>
    </w:p>
    <w:p w14:paraId="7EF178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Вiдомостi про змiну акцiонерiв, яким належать голосуючi акцiї, розмiр пакета яких стає бiльшим, меншим або рiвним пороговому значенню пакета акцiй не розкрита особою у складi рiчного звiту через те, що протягом звiтного перiоду така iнформацiя не виникала. </w:t>
      </w:r>
    </w:p>
    <w:p w14:paraId="10AFBC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вчинення правочинiв, щодо вчинення яких є заiнтересованiсть вiдсутня, так як у звiтному перiодi не вчинялися правочини щодо вчинення яких є заiнтересованiсть.</w:t>
      </w:r>
    </w:p>
    <w:p w14:paraId="40EAB54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Звiт про платежi на користь держави вiдсутнiй, так як Товариство є страховиком та не здiйснює дiяльнiсть у видобувних галузях та заготiвлi деревини. </w:t>
      </w:r>
    </w:p>
    <w:p w14:paraId="07383B9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Власний кодекс корпоративного управлiння у Товариства вiдсутнiй, iнформацiя не надається. </w:t>
      </w:r>
    </w:p>
    <w:p w14:paraId="13537D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Рада директорiв у Товариствi вiдсутня, так як Товариство має дворiвневу структуру управлiння i виконавчим органом є Генеральний директор Товариства.</w:t>
      </w:r>
    </w:p>
    <w:p w14:paraId="050664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про збори власникiв облiгацiй та загальний опис прийнятих на таких зборах рiшень вiдсутня, так як протягом звiтного перiоду вiдсутнi в обiгу облiгацiї Товариства. </w:t>
      </w:r>
    </w:p>
    <w:p w14:paraId="6138F7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проведенi засiдання комiтетiв ради та загальний опис прийнятих рiшень не включена до складу рiчної iнформацiї, оскiльки у Товариствi не створювалися комiтети Наглядової ради. </w:t>
      </w:r>
    </w:p>
    <w:p w14:paraId="61874C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колегiальний виконавчий орган та загальний опис прийнятих рiшень вiдсутня, так як в Товариствi вiдсутнiй одноосiбний виконавчий орган.</w:t>
      </w:r>
    </w:p>
    <w:p w14:paraId="1E8869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щодо будь-яких обмежень прав участi та голосування акцiонерiв (учасникiв) на загальних зборах особи не розкривається, оскiльки протягом звiтного перiоду були вiдсутнi такi факти. Статутом Товариства не передбачено будь-яких обмежень прав участi та голосування на загальних зборах акцiонерiв для власникiв простих iменних акцiй Товариства, крiм обмежень, передбачених законодавством України. </w:t>
      </w:r>
    </w:p>
    <w:p w14:paraId="7240F0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винагороду членiв виконавчого органу та/або ради не розкривається, оскiльки Вимоги до положення про винагороду та звiту про винагороду членiв наглядової ради та виконавчого органу акцiонерного товариства, затвердженi Рiшенням Нацiональної комiсiї з цiнних паперiв та фондового ринку 25 вересня 2018 року №659 не застосовуються до Товариства через вiдсутнiсть в нього внутрiшнiх документiв, що регламентують питання винагороди, та звiту про винагороду членiв наглядової ради та/або виконавчого орг</w:t>
      </w:r>
      <w:r>
        <w:rPr>
          <w:rFonts w:ascii="Times New Roman CYR" w:hAnsi="Times New Roman CYR" w:cs="Times New Roman CYR"/>
          <w:kern w:val="0"/>
        </w:rPr>
        <w:t>ану. Окрiм того, посадовi особи органiв управлiння Товариства не надали згоди на розкриття iнформацiї про розмiр отриманої винагороди, яка є вiдомостями про майновий стан особи та не пiдлягає розголошенню вiдповiдно до ст. 32 Конституцiї України.</w:t>
      </w:r>
    </w:p>
    <w:p w14:paraId="40482B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про радника вiдсутня, так як в Товариствi вiдсутня посада радника з корпоративних прав.</w:t>
      </w:r>
    </w:p>
    <w:p w14:paraId="2BBAAD4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структурi власностi емiтента фiзичних осiб, якi мають громадянство iноземної держави зони ризику вiдсутня, так як в структурi власностi Товариства вiдсутнi акцiонери фiзичнi особи, якi мають громадянство iноземної держави зони ризику. </w:t>
      </w:r>
    </w:p>
    <w:p w14:paraId="3396C2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структурi власностi емiтента фiзичних осiб, постiйним мiсцем проживання яких є iноземнi держави зони ризику вiдсутня, так як в структурi власностi Товариства вiдсутнi акцiонери фiзичнi особи, постiйним мiсцем проживання яких є iноземнi держави зони ризику. </w:t>
      </w:r>
    </w:p>
    <w:p w14:paraId="39A33C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структурi власностi емiтента юридичних осiб, мiсцем реєстрацiї яких є iноземнi держави зони ризику вiдсутня, так як в структурi власностi Товариства вiдсутнi акцiонери юридичнi особи, мiсцем реєстрацiї яких є iноземнi держави зони ризику. </w:t>
      </w:r>
    </w:p>
    <w:p w14:paraId="4665BD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вiдсутнiй, так як у Товариства вiдсутнi акцiонери, мiсцем реєстрацiї яких є iноземнi держави зони ризику. </w:t>
      </w:r>
    </w:p>
    <w:p w14:paraId="48170F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органах управлiння емiтента фiзичних осiб, якi мають громадянство iноземної держави зони ризику вiдсутня, так як в органах управлiння Товариства вiдсутнi фiзичнi особи, якi мають громадянство iноземної держави зони ризику. </w:t>
      </w:r>
    </w:p>
    <w:p w14:paraId="37C375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розкривається, так як згiдно з законодавством України iнформацiя про клiєнта належить до таємницi страхування та не може бути розкрита у публiчному доступi. </w:t>
      </w:r>
    </w:p>
    <w:p w14:paraId="607E2B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розкривається, так як згiдно з законодавством України iнформацiя про клiєнта належить до таємницi страхування та не може бути розкрита у публiчному доступi. </w:t>
      </w:r>
    </w:p>
    <w:p w14:paraId="63603B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вiдсутня, так як у Товариства вiдсутнi дочiрнi компанiї/пiдприємства, фiлiї, представництва та/або iншi вiдокремленi структурнi пiдроздiли, якi розташованi на територiї держави зони ризику. </w:t>
      </w:r>
    </w:p>
    <w:p w14:paraId="7DDF97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юридичних осiб, засновником, учасником, акцiонером яких є емiтент разом з особами, визначеними пiдпунктами 1-3 пункту 47 Положення вiдсутня, так як Товариство разом з </w:t>
      </w:r>
      <w:r>
        <w:rPr>
          <w:rFonts w:ascii="Times New Roman CYR" w:hAnsi="Times New Roman CYR" w:cs="Times New Roman CYR"/>
          <w:kern w:val="0"/>
        </w:rPr>
        <w:lastRenderedPageBreak/>
        <w:t xml:space="preserve">особами визначеними в пп. 1-3 п. 47 Положення НКЦПФР №608 вiд 06.06.2023 р., не є засновником, учасником, акцiонером юридичних осiб. </w:t>
      </w:r>
    </w:p>
    <w:p w14:paraId="05BE103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Перелiк засновникiв, акцiонерiв, учасникiв, що вiдноситься до iнформацiї щодо наявностi юридичних осiб, засновником, учасником, акцiонером яких є емiтент разом з особами, визначеними пiдпунктами 1-3 пункту 47 Положення вiдсутнiй, так як Товариство разом з особами визначеними в пп. 1-3 п. 47 Положення НКЦПФР №608 вiд 06.06.2023 р. не є засновником, учасником, акцiонером юридич</w:t>
      </w:r>
      <w:r>
        <w:rPr>
          <w:rFonts w:ascii="Times New Roman CYR" w:hAnsi="Times New Roman CYR" w:cs="Times New Roman CYR"/>
          <w:kern w:val="0"/>
        </w:rPr>
        <w:t xml:space="preserve">них осiб, мiсцем реєстрацiї яких є iноземнi держави зони ризику. </w:t>
      </w:r>
    </w:p>
    <w:p w14:paraId="678000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корпоративних прав в юридичнiй особi, зареєстрованiй в iноземнiй державi зони ризику вiдсутня, оскiльки у Товариства немає корпоративних прав в юридичнiй особi, зареєстрованiй в iноземнiй державi зони ризику. </w:t>
      </w:r>
    </w:p>
    <w:p w14:paraId="349244D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цiнних паперiв (крiм акцiй) юридичної особи, яка зареєстрована в iноземнiй державi зони ризику вiдсутня, так як у Товариства вiдсутнi цiннi папери (крiм акцiй) юридичної особи, яка зареєстрована в iноземнiй державi зони ризику. </w:t>
      </w:r>
    </w:p>
    <w:p w14:paraId="6A67A4D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корпоративнi / акцiонернi договори, укладенi акцiонерами (учасниками) особи, яка наявна в особи вiдсутня, так як протягом звiтного перiоду не укладались акцiонерами Товариства корпоративнi договори.</w:t>
      </w:r>
    </w:p>
    <w:p w14:paraId="252B1F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про будь-якi договори та/або правочини, умовою чинностi яких є незмiннiсть осiб, якi здiйснюють контроль над емiтентом вiдсутня, так як Товариством протягом звiтного перiоду не укладались договори та/або правочини, умовою чинностi яких є незмiннiсть осiб, якi здiйснюють контроль над Товариством. </w:t>
      </w:r>
    </w:p>
    <w:p w14:paraId="026DCE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разi звiльнення (припинення повноважень) посадовим особам Товариства виплачуються винагороди або компенсацiї згiдно умов договору та/або рiшення про виплату винагород або компенсацiї посадовим особам Товариства в кожному випадку приймається вiдповiдним органом Товариства iндивiдуально. </w:t>
      </w:r>
    </w:p>
    <w:p w14:paraId="498CAF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Дивiдендна полiтика не включена до складу рiчної iнформацiї, оскiльки Товариством не затверджувався окремий документ щодо дивiдендної полiтики. Дивiденди виплачуються згiдно зi Статутом Товариства та чинним законодавством. Дивiденди та iншi доходи за цiнними паперами у звiтному роцi не нараховувались та не виплачувались. Товариство не є емiтентом iпотечних облiгацiй. </w:t>
      </w:r>
    </w:p>
    <w:p w14:paraId="353D6E2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є емiтентом сертифiкатiв ФОН.</w:t>
      </w:r>
    </w:p>
    <w:p w14:paraId="10B8806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Товариством не заповнюється, так як у Товариства вiдсутнi випуски боргових цiнних паперiв, по яких укладено договiр страхування фiнансових ризикiв, предметом якого є страхування ризикiв невиконання зобов'язань за цiнними паперами.</w:t>
      </w:r>
    </w:p>
    <w:p w14:paraId="1122B0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AE984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B93DD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Зміст</w:t>
      </w:r>
    </w:p>
    <w:p w14:paraId="229AE7F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 річного звіту</w:t>
      </w:r>
    </w:p>
    <w:p w14:paraId="2BC2C0B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 Загальна інформація</w:t>
      </w:r>
    </w:p>
    <w:p w14:paraId="6968AE6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Ідентифікаційні дані та загальна інформація</w:t>
      </w:r>
    </w:p>
    <w:p w14:paraId="6FF6C76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Органи управління та посадові особи. Організаційна структура</w:t>
      </w:r>
    </w:p>
    <w:p w14:paraId="694BD6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Структура власності</w:t>
      </w:r>
    </w:p>
    <w:p w14:paraId="1D5E22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Опис господарської та фінансової діяльності</w:t>
      </w:r>
    </w:p>
    <w:p w14:paraId="3F4B764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II. Інформація щодо капіталу та цінних паперів</w:t>
      </w:r>
    </w:p>
    <w:p w14:paraId="4D063E1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Структура капіталу</w:t>
      </w:r>
    </w:p>
    <w:p w14:paraId="0387E0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Цінні папери</w:t>
      </w:r>
    </w:p>
    <w:p w14:paraId="0EC41AA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III. Фінансова інформація</w:t>
      </w:r>
    </w:p>
    <w:p w14:paraId="143F5A8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Річна фінансова звітність</w:t>
      </w:r>
    </w:p>
    <w:p w14:paraId="5D80A90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Аудиторський звіт до річної фінансової звітності</w:t>
      </w:r>
    </w:p>
    <w:p w14:paraId="2BE291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Твердження щодо річної інформації</w:t>
      </w:r>
    </w:p>
    <w:p w14:paraId="2DEAED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IV. Нефінансова інформація</w:t>
      </w:r>
    </w:p>
    <w:p w14:paraId="28B2FD5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Звіт керівництва (звіт про управління)</w:t>
      </w:r>
    </w:p>
    <w:p w14:paraId="75ACC65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звіт про корпоративне управління</w:t>
      </w:r>
    </w:p>
    <w:p w14:paraId="004207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звіт про сталий розвиток</w:t>
      </w:r>
    </w:p>
    <w:p w14:paraId="002556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5. Перелік посилань на внутрішні документи особи, що розміщені на вебсайті особи</w:t>
      </w:r>
    </w:p>
    <w:p w14:paraId="338164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VI. Список посилань на регульовану інформацію, яка була розкрита протягом звітного року</w:t>
      </w:r>
    </w:p>
    <w:p w14:paraId="05FB536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15BB2A3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48502E8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4714DF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 Загальна інформація</w:t>
      </w:r>
    </w:p>
    <w:p w14:paraId="06DD377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6F922F9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FA4C4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1F0752F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6465" w:type="dxa"/>
            <w:tcBorders>
              <w:top w:val="single" w:sz="6" w:space="0" w:color="auto"/>
              <w:left w:val="single" w:sz="6" w:space="0" w:color="auto"/>
              <w:bottom w:val="single" w:sz="6" w:space="0" w:color="auto"/>
            </w:tcBorders>
            <w:vAlign w:val="center"/>
          </w:tcPr>
          <w:p w14:paraId="7707569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"ЦЕНТР ФIН СЕРВIС"</w:t>
            </w:r>
          </w:p>
        </w:tc>
      </w:tr>
      <w:tr w:rsidR="00000000" w14:paraId="02D1DEE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639293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69F02AE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Скорочене найменування</w:t>
            </w:r>
          </w:p>
        </w:tc>
        <w:tc>
          <w:tcPr>
            <w:tcW w:w="6465" w:type="dxa"/>
            <w:tcBorders>
              <w:top w:val="single" w:sz="6" w:space="0" w:color="auto"/>
              <w:left w:val="single" w:sz="6" w:space="0" w:color="auto"/>
              <w:bottom w:val="single" w:sz="6" w:space="0" w:color="auto"/>
            </w:tcBorders>
            <w:vAlign w:val="center"/>
          </w:tcPr>
          <w:p w14:paraId="3DABCC8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"ЦФС"</w:t>
            </w:r>
          </w:p>
        </w:tc>
      </w:tr>
      <w:tr w:rsidR="00000000" w14:paraId="6CF33FD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8616D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5CA943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4A0193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35333145</w:t>
            </w:r>
          </w:p>
        </w:tc>
      </w:tr>
      <w:tr w:rsidR="00000000" w14:paraId="0DF6D1E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AE43F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315273A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432C1A3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16.08.2007</w:t>
            </w:r>
          </w:p>
        </w:tc>
      </w:tr>
      <w:tr w:rsidR="00000000" w14:paraId="73B7A21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0DF528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226EB79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Місцезнаходження</w:t>
            </w:r>
          </w:p>
        </w:tc>
        <w:tc>
          <w:tcPr>
            <w:tcW w:w="6465" w:type="dxa"/>
            <w:tcBorders>
              <w:top w:val="single" w:sz="6" w:space="0" w:color="auto"/>
              <w:left w:val="single" w:sz="6" w:space="0" w:color="auto"/>
              <w:bottom w:val="single" w:sz="6" w:space="0" w:color="auto"/>
            </w:tcBorders>
            <w:vAlign w:val="center"/>
          </w:tcPr>
          <w:p w14:paraId="0C855FC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01054, Україна, м.Київ, Шевченкiвський у мiстi Києвi р-н, мiсто Київ, вул. Бульварно-Кудрявська, буд. 33</w:t>
            </w:r>
          </w:p>
        </w:tc>
      </w:tr>
      <w:tr w:rsidR="00000000" w14:paraId="1F7A2B0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6D330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4EF5325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для листування</w:t>
            </w:r>
          </w:p>
        </w:tc>
        <w:tc>
          <w:tcPr>
            <w:tcW w:w="6465" w:type="dxa"/>
            <w:tcBorders>
              <w:top w:val="single" w:sz="6" w:space="0" w:color="auto"/>
              <w:left w:val="single" w:sz="6" w:space="0" w:color="auto"/>
              <w:bottom w:val="single" w:sz="6" w:space="0" w:color="auto"/>
            </w:tcBorders>
            <w:vAlign w:val="center"/>
          </w:tcPr>
          <w:p w14:paraId="2F9919A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5F22518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CD0B1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5D389FE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605A47E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Емітент</w:t>
            </w:r>
          </w:p>
          <w:p w14:paraId="0285B9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Особа, яка надає забезпечення</w:t>
            </w:r>
          </w:p>
        </w:tc>
      </w:tr>
      <w:tr w:rsidR="00000000" w14:paraId="069DCFC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29F90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7E6CD1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2FA13F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Так</w:t>
            </w:r>
          </w:p>
          <w:p w14:paraId="57FFAD0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Ні</w:t>
            </w:r>
          </w:p>
        </w:tc>
      </w:tr>
      <w:tr w:rsidR="00000000" w14:paraId="2C5BEC7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F3967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3500" w:type="dxa"/>
            <w:tcBorders>
              <w:top w:val="single" w:sz="6" w:space="0" w:color="auto"/>
              <w:left w:val="single" w:sz="6" w:space="0" w:color="auto"/>
              <w:bottom w:val="single" w:sz="6" w:space="0" w:color="auto"/>
              <w:right w:val="single" w:sz="6" w:space="0" w:color="auto"/>
            </w:tcBorders>
            <w:vAlign w:val="center"/>
          </w:tcPr>
          <w:p w14:paraId="0855C0E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Категорія підприємства</w:t>
            </w:r>
          </w:p>
        </w:tc>
        <w:tc>
          <w:tcPr>
            <w:tcW w:w="6465" w:type="dxa"/>
            <w:tcBorders>
              <w:top w:val="single" w:sz="6" w:space="0" w:color="auto"/>
              <w:left w:val="single" w:sz="6" w:space="0" w:color="auto"/>
              <w:bottom w:val="single" w:sz="6" w:space="0" w:color="auto"/>
            </w:tcBorders>
            <w:vAlign w:val="center"/>
          </w:tcPr>
          <w:p w14:paraId="5CD524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Велике</w:t>
            </w:r>
          </w:p>
          <w:p w14:paraId="77F6398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Середнє</w:t>
            </w:r>
          </w:p>
          <w:p w14:paraId="3C0957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Мале</w:t>
            </w:r>
          </w:p>
          <w:p w14:paraId="4D64BA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Мікро</w:t>
            </w:r>
          </w:p>
        </w:tc>
      </w:tr>
      <w:tr w:rsidR="00000000" w14:paraId="259B35E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D8BD0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57D133D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0FBECBC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office@ingo.ua</w:t>
            </w:r>
          </w:p>
        </w:tc>
      </w:tr>
      <w:tr w:rsidR="00000000" w14:paraId="0E72779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E6FBE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2FF5B1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w:t>
            </w:r>
          </w:p>
        </w:tc>
        <w:tc>
          <w:tcPr>
            <w:tcW w:w="6465" w:type="dxa"/>
            <w:tcBorders>
              <w:top w:val="single" w:sz="6" w:space="0" w:color="auto"/>
              <w:left w:val="single" w:sz="6" w:space="0" w:color="auto"/>
              <w:bottom w:val="single" w:sz="6" w:space="0" w:color="auto"/>
            </w:tcBorders>
            <w:vAlign w:val="center"/>
          </w:tcPr>
          <w:p w14:paraId="7FB2EE7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w:t>
            </w:r>
          </w:p>
        </w:tc>
      </w:tr>
      <w:tr w:rsidR="00000000" w14:paraId="2B043D3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863809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3500" w:type="dxa"/>
            <w:tcBorders>
              <w:top w:val="single" w:sz="6" w:space="0" w:color="auto"/>
              <w:left w:val="single" w:sz="6" w:space="0" w:color="auto"/>
              <w:bottom w:val="single" w:sz="6" w:space="0" w:color="auto"/>
              <w:right w:val="single" w:sz="6" w:space="0" w:color="auto"/>
            </w:tcBorders>
            <w:vAlign w:val="center"/>
          </w:tcPr>
          <w:p w14:paraId="7C49611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телефону</w:t>
            </w:r>
          </w:p>
        </w:tc>
        <w:tc>
          <w:tcPr>
            <w:tcW w:w="6465" w:type="dxa"/>
            <w:tcBorders>
              <w:top w:val="single" w:sz="6" w:space="0" w:color="auto"/>
              <w:left w:val="single" w:sz="6" w:space="0" w:color="auto"/>
              <w:bottom w:val="single" w:sz="6" w:space="0" w:color="auto"/>
            </w:tcBorders>
            <w:vAlign w:val="center"/>
          </w:tcPr>
          <w:p w14:paraId="261FBF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044 490-27-44</w:t>
            </w:r>
          </w:p>
        </w:tc>
      </w:tr>
      <w:tr w:rsidR="00000000" w14:paraId="738D0E2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CAE56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3500" w:type="dxa"/>
            <w:tcBorders>
              <w:top w:val="single" w:sz="6" w:space="0" w:color="auto"/>
              <w:left w:val="single" w:sz="6" w:space="0" w:color="auto"/>
              <w:bottom w:val="single" w:sz="6" w:space="0" w:color="auto"/>
              <w:right w:val="single" w:sz="6" w:space="0" w:color="auto"/>
            </w:tcBorders>
            <w:vAlign w:val="center"/>
          </w:tcPr>
          <w:p w14:paraId="272B0B5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Статутний капітал, грн</w:t>
            </w:r>
          </w:p>
        </w:tc>
        <w:tc>
          <w:tcPr>
            <w:tcW w:w="6465" w:type="dxa"/>
            <w:tcBorders>
              <w:top w:val="single" w:sz="6" w:space="0" w:color="auto"/>
              <w:left w:val="single" w:sz="6" w:space="0" w:color="auto"/>
              <w:bottom w:val="single" w:sz="6" w:space="0" w:color="auto"/>
            </w:tcBorders>
            <w:vAlign w:val="center"/>
          </w:tcPr>
          <w:p w14:paraId="395E59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21000000</w:t>
            </w:r>
          </w:p>
        </w:tc>
      </w:tr>
      <w:tr w:rsidR="00000000" w14:paraId="1FC6413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56450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3500" w:type="dxa"/>
            <w:tcBorders>
              <w:top w:val="single" w:sz="6" w:space="0" w:color="auto"/>
              <w:left w:val="single" w:sz="6" w:space="0" w:color="auto"/>
              <w:bottom w:val="single" w:sz="6" w:space="0" w:color="auto"/>
              <w:right w:val="single" w:sz="6" w:space="0" w:color="auto"/>
            </w:tcBorders>
            <w:vAlign w:val="center"/>
          </w:tcPr>
          <w:p w14:paraId="747C74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6580F86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46C331A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3BFAA0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15</w:t>
            </w:r>
          </w:p>
        </w:tc>
        <w:tc>
          <w:tcPr>
            <w:tcW w:w="3500" w:type="dxa"/>
            <w:tcBorders>
              <w:top w:val="single" w:sz="6" w:space="0" w:color="auto"/>
              <w:left w:val="single" w:sz="6" w:space="0" w:color="auto"/>
              <w:bottom w:val="single" w:sz="6" w:space="0" w:color="auto"/>
              <w:right w:val="single" w:sz="6" w:space="0" w:color="auto"/>
            </w:tcBorders>
            <w:vAlign w:val="center"/>
          </w:tcPr>
          <w:p w14:paraId="3AE99A7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2ED89B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5E7F6D7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9549B2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16</w:t>
            </w:r>
          </w:p>
        </w:tc>
        <w:tc>
          <w:tcPr>
            <w:tcW w:w="3500" w:type="dxa"/>
            <w:tcBorders>
              <w:top w:val="single" w:sz="6" w:space="0" w:color="auto"/>
              <w:left w:val="single" w:sz="6" w:space="0" w:color="auto"/>
              <w:bottom w:val="single" w:sz="6" w:space="0" w:color="auto"/>
              <w:right w:val="single" w:sz="6" w:space="0" w:color="auto"/>
            </w:tcBorders>
            <w:vAlign w:val="center"/>
          </w:tcPr>
          <w:p w14:paraId="4DD0E59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62046AB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w:t>
            </w:r>
          </w:p>
        </w:tc>
      </w:tr>
      <w:tr w:rsidR="00000000" w14:paraId="3C6D08E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997266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17</w:t>
            </w:r>
          </w:p>
        </w:tc>
        <w:tc>
          <w:tcPr>
            <w:tcW w:w="3500" w:type="dxa"/>
            <w:tcBorders>
              <w:top w:val="single" w:sz="6" w:space="0" w:color="auto"/>
              <w:left w:val="single" w:sz="6" w:space="0" w:color="auto"/>
              <w:bottom w:val="single" w:sz="6" w:space="0" w:color="auto"/>
              <w:right w:val="single" w:sz="6" w:space="0" w:color="auto"/>
            </w:tcBorders>
            <w:vAlign w:val="center"/>
          </w:tcPr>
          <w:p w14:paraId="16AA064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13BFB4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6C513C8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DFBA6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18</w:t>
            </w:r>
          </w:p>
        </w:tc>
        <w:tc>
          <w:tcPr>
            <w:tcW w:w="3500" w:type="dxa"/>
            <w:tcBorders>
              <w:top w:val="single" w:sz="6" w:space="0" w:color="auto"/>
              <w:left w:val="single" w:sz="6" w:space="0" w:color="auto"/>
              <w:bottom w:val="single" w:sz="6" w:space="0" w:color="auto"/>
              <w:right w:val="single" w:sz="6" w:space="0" w:color="auto"/>
            </w:tcBorders>
            <w:vAlign w:val="center"/>
          </w:tcPr>
          <w:p w14:paraId="7A378CA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401CAC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65.11 - страхування життя</w:t>
            </w:r>
          </w:p>
          <w:p w14:paraId="27185A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65.20 - перестрахування</w:t>
            </w:r>
          </w:p>
        </w:tc>
      </w:tr>
      <w:tr w:rsidR="00000000" w14:paraId="7765CF9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38B94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w:t>
            </w:r>
          </w:p>
        </w:tc>
        <w:tc>
          <w:tcPr>
            <w:tcW w:w="3500" w:type="dxa"/>
            <w:tcBorders>
              <w:top w:val="single" w:sz="6" w:space="0" w:color="auto"/>
              <w:left w:val="single" w:sz="6" w:space="0" w:color="auto"/>
              <w:bottom w:val="single" w:sz="6" w:space="0" w:color="auto"/>
              <w:right w:val="single" w:sz="6" w:space="0" w:color="auto"/>
            </w:tcBorders>
            <w:vAlign w:val="center"/>
          </w:tcPr>
          <w:p w14:paraId="1CB9D4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201B74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Однорівнева</w:t>
            </w:r>
          </w:p>
          <w:p w14:paraId="584C29D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Дворівнева</w:t>
            </w:r>
          </w:p>
          <w:p w14:paraId="7CEEFCD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Інше</w:t>
            </w:r>
          </w:p>
        </w:tc>
      </w:tr>
    </w:tbl>
    <w:p w14:paraId="17D9C2D4" w14:textId="77777777" w:rsidR="00DA0975" w:rsidRPr="00082B03" w:rsidRDefault="00DA0975">
      <w:pPr>
        <w:widowControl w:val="0"/>
        <w:autoSpaceDE w:val="0"/>
        <w:autoSpaceDN w:val="0"/>
        <w:adjustRightInd w:val="0"/>
        <w:spacing w:after="0" w:line="240" w:lineRule="auto"/>
        <w:rPr>
          <w:rFonts w:ascii="Times New Roman CYR" w:hAnsi="Times New Roman CYR" w:cs="Times New Roman CYR"/>
          <w:kern w:val="0"/>
          <w:lang w:val="en-US"/>
        </w:rPr>
      </w:pPr>
    </w:p>
    <w:p w14:paraId="1813F2F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55B305E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05BDC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6F2D73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3DA749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"ОТП БАНК"</w:t>
            </w:r>
          </w:p>
        </w:tc>
      </w:tr>
      <w:tr w:rsidR="00000000" w14:paraId="166DA73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FF74C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D4B6B4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Ідентифікаційний код </w:t>
            </w:r>
            <w:r>
              <w:rPr>
                <w:rFonts w:ascii="Times New Roman CYR" w:hAnsi="Times New Roman CYR" w:cs="Times New Roman CYR"/>
                <w:kern w:val="0"/>
              </w:rPr>
              <w:lastRenderedPageBreak/>
              <w:t>юридичної особи</w:t>
            </w:r>
          </w:p>
        </w:tc>
        <w:tc>
          <w:tcPr>
            <w:tcW w:w="6465" w:type="dxa"/>
            <w:tcBorders>
              <w:top w:val="single" w:sz="6" w:space="0" w:color="auto"/>
              <w:left w:val="single" w:sz="6" w:space="0" w:color="auto"/>
              <w:bottom w:val="single" w:sz="6" w:space="0" w:color="auto"/>
            </w:tcBorders>
            <w:vAlign w:val="center"/>
          </w:tcPr>
          <w:p w14:paraId="315EA1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21685166</w:t>
            </w:r>
          </w:p>
        </w:tc>
      </w:tr>
      <w:tr w:rsidR="00000000" w14:paraId="16219B6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7B3DCD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A2CF0D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49211B5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UA323005280000026504001316257</w:t>
            </w:r>
          </w:p>
        </w:tc>
      </w:tr>
      <w:tr w:rsidR="00000000" w14:paraId="73F6E9A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253F2B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99271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521B14B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6D3D2AC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26D98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2191D6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72D840D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"ПУМБ"</w:t>
            </w:r>
          </w:p>
        </w:tc>
      </w:tr>
      <w:tr w:rsidR="00000000" w14:paraId="5AA0FB3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E9F4C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0427D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1D1D9E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000000" w14:paraId="0195959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CD30C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7A102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76DC6ED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UA163348510000000000265001994</w:t>
            </w:r>
          </w:p>
        </w:tc>
      </w:tr>
      <w:tr w:rsidR="00000000" w14:paraId="7CEC4D1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2976C3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62019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87007E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bl>
    <w:p w14:paraId="10561D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52C724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2. Органи управління та посадові осо</w:t>
      </w:r>
      <w:r>
        <w:rPr>
          <w:rFonts w:ascii="Times New Roman CYR" w:hAnsi="Times New Roman CYR" w:cs="Times New Roman CYR"/>
          <w:b/>
          <w:bCs/>
          <w:i/>
          <w:iCs/>
          <w:kern w:val="0"/>
        </w:rPr>
        <w:t>би. Організаційна структура</w:t>
      </w:r>
    </w:p>
    <w:p w14:paraId="3CD6EC4C"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14:paraId="425D14F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C33E5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0DED65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6756A0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015F5C1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Персональний склад органу управління (контролю)</w:t>
            </w:r>
          </w:p>
        </w:tc>
      </w:tr>
      <w:tr w:rsidR="00000000" w14:paraId="5F96B07D"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7F9C7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147036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4000" w:type="dxa"/>
            <w:tcBorders>
              <w:top w:val="single" w:sz="6" w:space="0" w:color="auto"/>
              <w:left w:val="single" w:sz="6" w:space="0" w:color="auto"/>
              <w:bottom w:val="single" w:sz="6" w:space="0" w:color="auto"/>
              <w:right w:val="single" w:sz="6" w:space="0" w:color="auto"/>
            </w:tcBorders>
            <w:vAlign w:val="center"/>
          </w:tcPr>
          <w:p w14:paraId="2FDD8B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vAlign w:val="center"/>
          </w:tcPr>
          <w:p w14:paraId="6149999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2E35D007"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32FD9B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464EF2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14:paraId="5DCCED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Iден</w:t>
            </w:r>
            <w:r>
              <w:rPr>
                <w:rFonts w:ascii="Times New Roman CYR" w:hAnsi="Times New Roman CYR" w:cs="Times New Roman CYR"/>
                <w:kern w:val="0"/>
                <w:sz w:val="22"/>
                <w:szCs w:val="22"/>
              </w:rPr>
              <w:t>тифiкацiя Акцiонерiв здiйснюється на пiдставi виписки з рахунку в цiнних</w:t>
            </w:r>
          </w:p>
          <w:p w14:paraId="19B522E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паперах складеного депозитарною установою або реєстру власникiв</w:t>
            </w:r>
          </w:p>
          <w:p w14:paraId="550812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iменних цiнних паперiв складеного професiйним учасником депозитарної</w:t>
            </w:r>
          </w:p>
          <w:p w14:paraId="31A7FC1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системи України вiдповiдно до вимог законодавства про депозитарну систему України.</w:t>
            </w:r>
          </w:p>
          <w:p w14:paraId="147EF9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6492D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4000" w:type="dxa"/>
            <w:tcBorders>
              <w:top w:val="single" w:sz="6" w:space="0" w:color="auto"/>
              <w:left w:val="single" w:sz="6" w:space="0" w:color="auto"/>
              <w:bottom w:val="single" w:sz="6" w:space="0" w:color="auto"/>
            </w:tcBorders>
          </w:tcPr>
          <w:p w14:paraId="2063C2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Вiдповiдно до данних реєстру акцiонерiв складений на дату щодо участi у Загальних зборах акцiонерiв</w:t>
            </w:r>
          </w:p>
        </w:tc>
      </w:tr>
      <w:tr w:rsidR="00000000" w14:paraId="19F742BD"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617A58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450" w:type="dxa"/>
            <w:tcBorders>
              <w:top w:val="single" w:sz="6" w:space="0" w:color="auto"/>
              <w:left w:val="single" w:sz="6" w:space="0" w:color="auto"/>
              <w:bottom w:val="single" w:sz="6" w:space="0" w:color="auto"/>
              <w:right w:val="single" w:sz="6" w:space="0" w:color="auto"/>
            </w:tcBorders>
          </w:tcPr>
          <w:p w14:paraId="2DB2B21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3B674AC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Вiдповiдно до вимог Закону Україна "Про акцiонернi товариства" та iнших нормативно-правових актiв у емiтента створено та функцiонує орган управлiння - Наглядова рада. Кiлькiсний склад - 4 особи.</w:t>
            </w:r>
          </w:p>
          <w:p w14:paraId="04ACFB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Компетенцiя визначена Статутом та вiдповiдним Положеннями, якi розробленi вiдповiдно до вимог Статуту та Закону України "Про акцiонернi товариства".</w:t>
            </w:r>
          </w:p>
          <w:p w14:paraId="7B45C2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4000" w:type="dxa"/>
            <w:tcBorders>
              <w:top w:val="single" w:sz="6" w:space="0" w:color="auto"/>
              <w:left w:val="single" w:sz="6" w:space="0" w:color="auto"/>
              <w:bottom w:val="single" w:sz="6" w:space="0" w:color="auto"/>
            </w:tcBorders>
          </w:tcPr>
          <w:p w14:paraId="3E4ACF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Наглядової ради - Гордiєнко Iгор Миколайович.</w:t>
            </w:r>
          </w:p>
          <w:p w14:paraId="57073B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Наглядової ради непогашеної судимостi за корисливi та посадовi злочини не має. Частка в Статутному капiталi складає - 0,000476%</w:t>
            </w:r>
          </w:p>
          <w:p w14:paraId="4B768A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Члени Наглядової ради є громадяни України - Шевченко Вiктор Вастильович, Мацак Олександр Миколайович</w:t>
            </w:r>
          </w:p>
          <w:p w14:paraId="1DAD8B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Члени Наглядової ради непогашеної судимостi за корисливi та посадовi злочини не мають. Частка в Статутному капiталi емiтента вiдсутня.</w:t>
            </w:r>
          </w:p>
          <w:p w14:paraId="25C9BB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73A12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212E18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3DC803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450" w:type="dxa"/>
            <w:tcBorders>
              <w:top w:val="single" w:sz="6" w:space="0" w:color="auto"/>
              <w:left w:val="single" w:sz="6" w:space="0" w:color="auto"/>
              <w:bottom w:val="single" w:sz="6" w:space="0" w:color="auto"/>
              <w:right w:val="single" w:sz="6" w:space="0" w:color="auto"/>
            </w:tcBorders>
          </w:tcPr>
          <w:p w14:paraId="3D388A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Директор</w:t>
            </w:r>
          </w:p>
        </w:tc>
        <w:tc>
          <w:tcPr>
            <w:tcW w:w="4000" w:type="dxa"/>
            <w:tcBorders>
              <w:top w:val="single" w:sz="6" w:space="0" w:color="auto"/>
              <w:left w:val="single" w:sz="6" w:space="0" w:color="auto"/>
              <w:bottom w:val="single" w:sz="6" w:space="0" w:color="auto"/>
              <w:right w:val="single" w:sz="6" w:space="0" w:color="auto"/>
            </w:tcBorders>
          </w:tcPr>
          <w:p w14:paraId="3D2DB2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19 серпня  2024 року створено одноособовий виконавчий орган управлiння - Директор.</w:t>
            </w:r>
          </w:p>
          <w:p w14:paraId="1D275D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Компетенцiя визначена Статутом та вiдповiдним Положенням, що розроблено вiдповiдно до вимог Статуту та Закону України "Про акцiонернi товариства"</w:t>
            </w:r>
          </w:p>
          <w:p w14:paraId="0A2F84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4000" w:type="dxa"/>
            <w:tcBorders>
              <w:top w:val="single" w:sz="6" w:space="0" w:color="auto"/>
              <w:left w:val="single" w:sz="6" w:space="0" w:color="auto"/>
              <w:bottom w:val="single" w:sz="6" w:space="0" w:color="auto"/>
            </w:tcBorders>
          </w:tcPr>
          <w:p w14:paraId="5BFB49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Генеральний директор - Рижова Тетяна Сергiївна. Акцiями Товариства не володiє, непогашеної судимостi за кориснi злочини не має.</w:t>
            </w:r>
          </w:p>
          <w:p w14:paraId="523782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Рiшення, яке забороняє займати дану посаду судом не приймалося. </w:t>
            </w:r>
          </w:p>
          <w:p w14:paraId="3694B5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В.о. Директора  з 19.08.2024 року  -  Колiсецька Людмила Олександрiвна. Непогашеної судимостi за корисливi та посадовi злочини не має. Частка в Статутному капiталi складає - </w:t>
            </w:r>
            <w:r>
              <w:rPr>
                <w:rFonts w:ascii="Times New Roman CYR" w:hAnsi="Times New Roman CYR" w:cs="Times New Roman CYR"/>
                <w:kern w:val="0"/>
                <w:sz w:val="22"/>
                <w:szCs w:val="22"/>
              </w:rPr>
              <w:lastRenderedPageBreak/>
              <w:t>0,005238%.</w:t>
            </w:r>
          </w:p>
        </w:tc>
      </w:tr>
    </w:tbl>
    <w:p w14:paraId="296352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6267DE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45CE52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посадових осіб</w:t>
      </w:r>
    </w:p>
    <w:p w14:paraId="173AE9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73A5A71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A2ABD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64C5AD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0EA3B7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39B4860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5D86F1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1CE964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0C724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32BDCD5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367BC1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4A7E5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781D65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1AD189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38D5E11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508BE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B89D29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6160CF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A0D3F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494334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324430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D142D4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0A1931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037B34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89669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2D5D06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64D0C9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08F03C9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02A0B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80CB6C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4ACD50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Гордiєнко Iгор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418413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2E56D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6A103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14:paraId="5A1489C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0F6B62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73B65F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"Страхова компанiя "IНГО" </w:t>
            </w:r>
          </w:p>
          <w:p w14:paraId="368A6F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w:t>
            </w:r>
          </w:p>
          <w:p w14:paraId="77F28C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Голова правлiння - Акцiонерне товариство "Страхова компанiя "IНГО" </w:t>
            </w:r>
          </w:p>
        </w:tc>
        <w:tc>
          <w:tcPr>
            <w:tcW w:w="1400" w:type="dxa"/>
            <w:tcBorders>
              <w:top w:val="single" w:sz="6" w:space="0" w:color="auto"/>
              <w:left w:val="single" w:sz="6" w:space="0" w:color="auto"/>
              <w:bottom w:val="single" w:sz="6" w:space="0" w:color="auto"/>
              <w:right w:val="single" w:sz="6" w:space="0" w:color="auto"/>
            </w:tcBorders>
            <w:vAlign w:val="center"/>
          </w:tcPr>
          <w:p w14:paraId="2EF7EC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26.04.2023</w:t>
            </w:r>
          </w:p>
          <w:p w14:paraId="782732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12BF62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534494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7B121F9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35066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3E8AAE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69555B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Мацак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0A9546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BC308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2429B59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1954</w:t>
            </w:r>
          </w:p>
        </w:tc>
        <w:tc>
          <w:tcPr>
            <w:tcW w:w="1000" w:type="dxa"/>
            <w:tcBorders>
              <w:top w:val="single" w:sz="6" w:space="0" w:color="auto"/>
              <w:left w:val="single" w:sz="6" w:space="0" w:color="auto"/>
              <w:bottom w:val="single" w:sz="6" w:space="0" w:color="auto"/>
              <w:right w:val="single" w:sz="6" w:space="0" w:color="auto"/>
            </w:tcBorders>
            <w:vAlign w:val="center"/>
          </w:tcPr>
          <w:p w14:paraId="6F2870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D7731E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2000" w:type="dxa"/>
            <w:tcBorders>
              <w:top w:val="single" w:sz="6" w:space="0" w:color="auto"/>
              <w:left w:val="single" w:sz="6" w:space="0" w:color="auto"/>
              <w:bottom w:val="single" w:sz="6" w:space="0" w:color="auto"/>
              <w:right w:val="single" w:sz="6" w:space="0" w:color="auto"/>
            </w:tcBorders>
            <w:vAlign w:val="center"/>
          </w:tcPr>
          <w:p w14:paraId="60C246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"Страхова компанiя "IНГО" </w:t>
            </w:r>
          </w:p>
          <w:p w14:paraId="1813D5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w:t>
            </w:r>
          </w:p>
          <w:p w14:paraId="4BEDBC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Член Правлiння - Акцiонерне товариство "Страхова компанiя "IНГО" </w:t>
            </w:r>
          </w:p>
        </w:tc>
        <w:tc>
          <w:tcPr>
            <w:tcW w:w="1400" w:type="dxa"/>
            <w:tcBorders>
              <w:top w:val="single" w:sz="6" w:space="0" w:color="auto"/>
              <w:left w:val="single" w:sz="6" w:space="0" w:color="auto"/>
              <w:bottom w:val="single" w:sz="6" w:space="0" w:color="auto"/>
              <w:right w:val="single" w:sz="6" w:space="0" w:color="auto"/>
            </w:tcBorders>
            <w:vAlign w:val="center"/>
          </w:tcPr>
          <w:p w14:paraId="7A6B71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26.04.2023</w:t>
            </w:r>
          </w:p>
          <w:p w14:paraId="06F7516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58FAAC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23A7E5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7D36EB3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151BF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38253E6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07D79C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Шевченко Вiктор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14:paraId="75A86B2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9236D7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F2C48C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1964</w:t>
            </w:r>
          </w:p>
        </w:tc>
        <w:tc>
          <w:tcPr>
            <w:tcW w:w="1000" w:type="dxa"/>
            <w:tcBorders>
              <w:top w:val="single" w:sz="6" w:space="0" w:color="auto"/>
              <w:left w:val="single" w:sz="6" w:space="0" w:color="auto"/>
              <w:bottom w:val="single" w:sz="6" w:space="0" w:color="auto"/>
              <w:right w:val="single" w:sz="6" w:space="0" w:color="auto"/>
            </w:tcBorders>
            <w:vAlign w:val="center"/>
          </w:tcPr>
          <w:p w14:paraId="20F0B12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4CC88A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2000" w:type="dxa"/>
            <w:tcBorders>
              <w:top w:val="single" w:sz="6" w:space="0" w:color="auto"/>
              <w:left w:val="single" w:sz="6" w:space="0" w:color="auto"/>
              <w:bottom w:val="single" w:sz="6" w:space="0" w:color="auto"/>
              <w:right w:val="single" w:sz="6" w:space="0" w:color="auto"/>
            </w:tcBorders>
            <w:vAlign w:val="center"/>
          </w:tcPr>
          <w:p w14:paraId="44730A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"Страхова компанiя "IНГО" </w:t>
            </w:r>
          </w:p>
          <w:p w14:paraId="0C6BA1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w:t>
            </w:r>
          </w:p>
          <w:p w14:paraId="18224B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Член Правлiння  - Акцiонерне товариство "Страхова компанiя "IНГО" </w:t>
            </w:r>
          </w:p>
        </w:tc>
        <w:tc>
          <w:tcPr>
            <w:tcW w:w="1400" w:type="dxa"/>
            <w:tcBorders>
              <w:top w:val="single" w:sz="6" w:space="0" w:color="auto"/>
              <w:left w:val="single" w:sz="6" w:space="0" w:color="auto"/>
              <w:bottom w:val="single" w:sz="6" w:space="0" w:color="auto"/>
              <w:right w:val="single" w:sz="6" w:space="0" w:color="auto"/>
            </w:tcBorders>
            <w:vAlign w:val="center"/>
          </w:tcPr>
          <w:p w14:paraId="76A943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26.04.2023</w:t>
            </w:r>
          </w:p>
          <w:p w14:paraId="5682D7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748F9F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44DD69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254BF79D"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EE995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14:paraId="22084DC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339C58E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Колiсецька Людмила Олександрiвна</w:t>
            </w:r>
          </w:p>
        </w:tc>
        <w:tc>
          <w:tcPr>
            <w:tcW w:w="1100" w:type="dxa"/>
            <w:tcBorders>
              <w:top w:val="single" w:sz="6" w:space="0" w:color="auto"/>
              <w:left w:val="single" w:sz="6" w:space="0" w:color="auto"/>
              <w:bottom w:val="single" w:sz="6" w:space="0" w:color="auto"/>
              <w:right w:val="single" w:sz="6" w:space="0" w:color="auto"/>
            </w:tcBorders>
            <w:vAlign w:val="center"/>
          </w:tcPr>
          <w:p w14:paraId="100C7E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A5FA3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21A670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1963</w:t>
            </w:r>
          </w:p>
        </w:tc>
        <w:tc>
          <w:tcPr>
            <w:tcW w:w="1000" w:type="dxa"/>
            <w:tcBorders>
              <w:top w:val="single" w:sz="6" w:space="0" w:color="auto"/>
              <w:left w:val="single" w:sz="6" w:space="0" w:color="auto"/>
              <w:bottom w:val="single" w:sz="6" w:space="0" w:color="auto"/>
              <w:right w:val="single" w:sz="6" w:space="0" w:color="auto"/>
            </w:tcBorders>
            <w:vAlign w:val="center"/>
          </w:tcPr>
          <w:p w14:paraId="59F037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F8201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69856B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АТ "СК "IНГО" ,АТ "СК "IНГО ЖИТТЯ"</w:t>
            </w:r>
          </w:p>
          <w:p w14:paraId="3E79406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16285602, 35333145</w:t>
            </w:r>
          </w:p>
          <w:p w14:paraId="4CA866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Протягом останнiх </w:t>
            </w:r>
            <w:r>
              <w:rPr>
                <w:rFonts w:ascii="Times New Roman CYR" w:hAnsi="Times New Roman CYR" w:cs="Times New Roman CYR"/>
                <w:kern w:val="0"/>
                <w:sz w:val="20"/>
                <w:szCs w:val="20"/>
              </w:rPr>
              <w:lastRenderedPageBreak/>
              <w:t>п'яти рокiв особа займав посаду Члена Правлiння АТ "СК "IНГО", АТ "СК "IНГО ЖИТТЯ", посаду Голови Ревiзiйної комiсiї АТ "СК "IНГО ЖИТТЯ", посаду Члена Наглядової ради АТ "СК "IНГО ЖИТТЯ"</w:t>
            </w:r>
          </w:p>
        </w:tc>
        <w:tc>
          <w:tcPr>
            <w:tcW w:w="1400" w:type="dxa"/>
            <w:tcBorders>
              <w:top w:val="single" w:sz="6" w:space="0" w:color="auto"/>
              <w:left w:val="single" w:sz="6" w:space="0" w:color="auto"/>
              <w:bottom w:val="single" w:sz="6" w:space="0" w:color="auto"/>
              <w:right w:val="single" w:sz="6" w:space="0" w:color="auto"/>
            </w:tcBorders>
            <w:vAlign w:val="center"/>
          </w:tcPr>
          <w:p w14:paraId="736DD6C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26.04.2023</w:t>
            </w:r>
          </w:p>
          <w:p w14:paraId="57D5B4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до 09.06.2024</w:t>
            </w:r>
          </w:p>
        </w:tc>
        <w:tc>
          <w:tcPr>
            <w:tcW w:w="1400" w:type="dxa"/>
            <w:tcBorders>
              <w:top w:val="single" w:sz="6" w:space="0" w:color="auto"/>
              <w:left w:val="single" w:sz="6" w:space="0" w:color="auto"/>
              <w:bottom w:val="single" w:sz="6" w:space="0" w:color="auto"/>
              <w:right w:val="single" w:sz="6" w:space="0" w:color="auto"/>
            </w:tcBorders>
            <w:vAlign w:val="center"/>
          </w:tcPr>
          <w:p w14:paraId="3C7BCB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743EB8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6E6707F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7E802EDA"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1A894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3B53C8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184C71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479973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64FF8A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3A70614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451D8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2E23D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4C5F77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056FB5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299AD5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33FFFC5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5695D82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692699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9E8A9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3DC06A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9B0F8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541903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2F4585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19153C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5EAD45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384BED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53E4834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08DF5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6109F8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30CD3C2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D92CE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140224C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314A1C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Рижова Тетяна Сергiївна</w:t>
            </w:r>
          </w:p>
        </w:tc>
        <w:tc>
          <w:tcPr>
            <w:tcW w:w="1100" w:type="dxa"/>
            <w:tcBorders>
              <w:top w:val="single" w:sz="6" w:space="0" w:color="auto"/>
              <w:left w:val="single" w:sz="6" w:space="0" w:color="auto"/>
              <w:bottom w:val="single" w:sz="6" w:space="0" w:color="auto"/>
              <w:right w:val="single" w:sz="6" w:space="0" w:color="auto"/>
            </w:tcBorders>
            <w:vAlign w:val="center"/>
          </w:tcPr>
          <w:p w14:paraId="033AAA4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CA458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7E576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1951</w:t>
            </w:r>
          </w:p>
        </w:tc>
        <w:tc>
          <w:tcPr>
            <w:tcW w:w="1000" w:type="dxa"/>
            <w:tcBorders>
              <w:top w:val="single" w:sz="6" w:space="0" w:color="auto"/>
              <w:left w:val="single" w:sz="6" w:space="0" w:color="auto"/>
              <w:bottom w:val="single" w:sz="6" w:space="0" w:color="auto"/>
              <w:right w:val="single" w:sz="6" w:space="0" w:color="auto"/>
            </w:tcBorders>
            <w:vAlign w:val="center"/>
          </w:tcPr>
          <w:p w14:paraId="4906EC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99F0A3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13</w:t>
            </w:r>
          </w:p>
        </w:tc>
        <w:tc>
          <w:tcPr>
            <w:tcW w:w="2000" w:type="dxa"/>
            <w:tcBorders>
              <w:top w:val="single" w:sz="6" w:space="0" w:color="auto"/>
              <w:left w:val="single" w:sz="6" w:space="0" w:color="auto"/>
              <w:bottom w:val="single" w:sz="6" w:space="0" w:color="auto"/>
              <w:right w:val="single" w:sz="6" w:space="0" w:color="auto"/>
            </w:tcBorders>
            <w:vAlign w:val="center"/>
          </w:tcPr>
          <w:p w14:paraId="555866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Акцiонерне товариство "Страхова компанiя "IНГО ЖИТТЯ"</w:t>
            </w:r>
          </w:p>
          <w:p w14:paraId="3B6AD4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35333145</w:t>
            </w:r>
          </w:p>
          <w:p w14:paraId="0C6628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Генеральний директор - Акцiонерне товариство "Страхова компанiя "IНГО ЖИТТЯ"</w:t>
            </w:r>
          </w:p>
        </w:tc>
        <w:tc>
          <w:tcPr>
            <w:tcW w:w="1400" w:type="dxa"/>
            <w:tcBorders>
              <w:top w:val="single" w:sz="6" w:space="0" w:color="auto"/>
              <w:left w:val="single" w:sz="6" w:space="0" w:color="auto"/>
              <w:bottom w:val="single" w:sz="6" w:space="0" w:color="auto"/>
              <w:right w:val="single" w:sz="6" w:space="0" w:color="auto"/>
            </w:tcBorders>
            <w:vAlign w:val="center"/>
          </w:tcPr>
          <w:p w14:paraId="462900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30.05.2024</w:t>
            </w:r>
          </w:p>
          <w:p w14:paraId="2E0C30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до 18.08.2024</w:t>
            </w:r>
          </w:p>
        </w:tc>
        <w:tc>
          <w:tcPr>
            <w:tcW w:w="1400" w:type="dxa"/>
            <w:tcBorders>
              <w:top w:val="single" w:sz="6" w:space="0" w:color="auto"/>
              <w:left w:val="single" w:sz="6" w:space="0" w:color="auto"/>
              <w:bottom w:val="single" w:sz="6" w:space="0" w:color="auto"/>
              <w:right w:val="single" w:sz="6" w:space="0" w:color="auto"/>
            </w:tcBorders>
            <w:vAlign w:val="center"/>
          </w:tcPr>
          <w:p w14:paraId="24B868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518D32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000000" w14:paraId="051E288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C8996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556E39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В.о. Директора</w:t>
            </w:r>
          </w:p>
        </w:tc>
        <w:tc>
          <w:tcPr>
            <w:tcW w:w="2100" w:type="dxa"/>
            <w:tcBorders>
              <w:top w:val="single" w:sz="6" w:space="0" w:color="auto"/>
              <w:left w:val="single" w:sz="6" w:space="0" w:color="auto"/>
              <w:bottom w:val="single" w:sz="6" w:space="0" w:color="auto"/>
              <w:right w:val="single" w:sz="6" w:space="0" w:color="auto"/>
            </w:tcBorders>
            <w:vAlign w:val="center"/>
          </w:tcPr>
          <w:p w14:paraId="009F4A2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Колiсецька Людмила Олександрiвна</w:t>
            </w:r>
          </w:p>
        </w:tc>
        <w:tc>
          <w:tcPr>
            <w:tcW w:w="1100" w:type="dxa"/>
            <w:tcBorders>
              <w:top w:val="single" w:sz="6" w:space="0" w:color="auto"/>
              <w:left w:val="single" w:sz="6" w:space="0" w:color="auto"/>
              <w:bottom w:val="single" w:sz="6" w:space="0" w:color="auto"/>
              <w:right w:val="single" w:sz="6" w:space="0" w:color="auto"/>
            </w:tcBorders>
            <w:vAlign w:val="center"/>
          </w:tcPr>
          <w:p w14:paraId="79EC44F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81E4A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D29E5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1963</w:t>
            </w:r>
          </w:p>
        </w:tc>
        <w:tc>
          <w:tcPr>
            <w:tcW w:w="1000" w:type="dxa"/>
            <w:tcBorders>
              <w:top w:val="single" w:sz="6" w:space="0" w:color="auto"/>
              <w:left w:val="single" w:sz="6" w:space="0" w:color="auto"/>
              <w:bottom w:val="single" w:sz="6" w:space="0" w:color="auto"/>
              <w:right w:val="single" w:sz="6" w:space="0" w:color="auto"/>
            </w:tcBorders>
            <w:vAlign w:val="center"/>
          </w:tcPr>
          <w:p w14:paraId="0B52B5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F1360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257BB1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АТ "СК "IНГО" ,АТ "СК "IНГО ЖИТТЯ"</w:t>
            </w:r>
          </w:p>
          <w:p w14:paraId="1563EF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16285602, 35333145</w:t>
            </w:r>
          </w:p>
          <w:p w14:paraId="35F987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Протягом останнiх п'яти рокiв особа займав посаду Члена Правлiння АТ "</w:t>
            </w:r>
            <w:r>
              <w:rPr>
                <w:rFonts w:ascii="Times New Roman CYR" w:hAnsi="Times New Roman CYR" w:cs="Times New Roman CYR"/>
                <w:kern w:val="0"/>
                <w:sz w:val="20"/>
                <w:szCs w:val="20"/>
              </w:rPr>
              <w:t xml:space="preserve">СК "IНГО", АТ "СК "IНГО ЖИТТЯ", посаду Голови Ревiзiйної комiсiї АТ "СК </w:t>
            </w:r>
            <w:r>
              <w:rPr>
                <w:rFonts w:ascii="Times New Roman CYR" w:hAnsi="Times New Roman CYR" w:cs="Times New Roman CYR"/>
                <w:kern w:val="0"/>
                <w:sz w:val="20"/>
                <w:szCs w:val="20"/>
              </w:rPr>
              <w:lastRenderedPageBreak/>
              <w:t>"IНГО ЖИТТЯ", посаду Члена Наглядової ради АТ "СК "IНГО ЖИТТЯ"</w:t>
            </w:r>
          </w:p>
        </w:tc>
        <w:tc>
          <w:tcPr>
            <w:tcW w:w="1400" w:type="dxa"/>
            <w:tcBorders>
              <w:top w:val="single" w:sz="6" w:space="0" w:color="auto"/>
              <w:left w:val="single" w:sz="6" w:space="0" w:color="auto"/>
              <w:bottom w:val="single" w:sz="6" w:space="0" w:color="auto"/>
              <w:right w:val="single" w:sz="6" w:space="0" w:color="auto"/>
            </w:tcBorders>
            <w:vAlign w:val="center"/>
          </w:tcPr>
          <w:p w14:paraId="40CD89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19.08.2024</w:t>
            </w:r>
          </w:p>
          <w:p w14:paraId="2828E3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43ADBF2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7B8A56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000000" w14:paraId="4B6ABB2A"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105D1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074DC0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14:paraId="4CDD9B2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Колiсецька Людмила Олександрiвна</w:t>
            </w:r>
          </w:p>
        </w:tc>
        <w:tc>
          <w:tcPr>
            <w:tcW w:w="1100" w:type="dxa"/>
            <w:tcBorders>
              <w:top w:val="single" w:sz="6" w:space="0" w:color="auto"/>
              <w:left w:val="single" w:sz="6" w:space="0" w:color="auto"/>
              <w:bottom w:val="single" w:sz="6" w:space="0" w:color="auto"/>
              <w:right w:val="single" w:sz="6" w:space="0" w:color="auto"/>
            </w:tcBorders>
            <w:vAlign w:val="center"/>
          </w:tcPr>
          <w:p w14:paraId="6C950B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CDA43B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C64AE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1963</w:t>
            </w:r>
          </w:p>
        </w:tc>
        <w:tc>
          <w:tcPr>
            <w:tcW w:w="1000" w:type="dxa"/>
            <w:tcBorders>
              <w:top w:val="single" w:sz="6" w:space="0" w:color="auto"/>
              <w:left w:val="single" w:sz="6" w:space="0" w:color="auto"/>
              <w:bottom w:val="single" w:sz="6" w:space="0" w:color="auto"/>
              <w:right w:val="single" w:sz="6" w:space="0" w:color="auto"/>
            </w:tcBorders>
            <w:vAlign w:val="center"/>
          </w:tcPr>
          <w:p w14:paraId="4D7DC73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D5117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5B012C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АТ "СК "IНГО" ,АТ "СК "IНГО ЖИТТЯ"</w:t>
            </w:r>
          </w:p>
          <w:p w14:paraId="5702DE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16285602, 35333145</w:t>
            </w:r>
          </w:p>
          <w:p w14:paraId="2412A2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Протягом останнiх п'яти рокiв особа займав посаду Члена Правлiння АТ "СК "IНГО", АТ "СК "IНГО ЖИТТЯ", посаду Голови Ревiзiйної комiсiї АТ "СК "IНГО ЖИТТЯ", посаду Члена Наглядової ради АТ "СК "IНГО ЖИТТЯ"</w:t>
            </w:r>
          </w:p>
        </w:tc>
        <w:tc>
          <w:tcPr>
            <w:tcW w:w="1400" w:type="dxa"/>
            <w:tcBorders>
              <w:top w:val="single" w:sz="6" w:space="0" w:color="auto"/>
              <w:left w:val="single" w:sz="6" w:space="0" w:color="auto"/>
              <w:bottom w:val="single" w:sz="6" w:space="0" w:color="auto"/>
              <w:right w:val="single" w:sz="6" w:space="0" w:color="auto"/>
            </w:tcBorders>
            <w:vAlign w:val="center"/>
          </w:tcPr>
          <w:p w14:paraId="79F17B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10.06.2024</w:t>
            </w:r>
          </w:p>
          <w:p w14:paraId="402CAC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до 18.08.2024</w:t>
            </w:r>
          </w:p>
        </w:tc>
        <w:tc>
          <w:tcPr>
            <w:tcW w:w="1400" w:type="dxa"/>
            <w:tcBorders>
              <w:top w:val="single" w:sz="6" w:space="0" w:color="auto"/>
              <w:left w:val="single" w:sz="6" w:space="0" w:color="auto"/>
              <w:bottom w:val="single" w:sz="6" w:space="0" w:color="auto"/>
              <w:right w:val="single" w:sz="6" w:space="0" w:color="auto"/>
            </w:tcBorders>
            <w:vAlign w:val="center"/>
          </w:tcPr>
          <w:p w14:paraId="0CD572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7384DE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589B29D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2E65C107"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53A06F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CD8BDC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1F602E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45D9BF1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4D85B7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1DCAFB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F1E6E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1D74D1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25969E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1E5517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4181A3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257C58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1C00F323"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0AAE6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746CA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41E569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9140D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144B7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342F9B6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2169C0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101E89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7144B4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73C611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109049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0A633BF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5AE346F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B7C4F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1AF7F8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14:paraId="36033D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Рулiкiвська Наталiя Iванiвна</w:t>
            </w:r>
          </w:p>
        </w:tc>
        <w:tc>
          <w:tcPr>
            <w:tcW w:w="1100" w:type="dxa"/>
            <w:tcBorders>
              <w:top w:val="single" w:sz="6" w:space="0" w:color="auto"/>
              <w:left w:val="single" w:sz="6" w:space="0" w:color="auto"/>
              <w:bottom w:val="single" w:sz="6" w:space="0" w:color="auto"/>
              <w:right w:val="single" w:sz="6" w:space="0" w:color="auto"/>
            </w:tcBorders>
            <w:vAlign w:val="center"/>
          </w:tcPr>
          <w:p w14:paraId="354FBD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F190D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F1BB9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14:paraId="35B61B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64794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2324FC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"Страхова компанiя "IНГО ЖИТТЯ" </w:t>
            </w:r>
          </w:p>
          <w:p w14:paraId="5D032D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35333145</w:t>
            </w:r>
          </w:p>
          <w:p w14:paraId="5DF07A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 - Акцiонерне товариство "Страхова компанiя "IНГО ЖИТТЯ"</w:t>
            </w:r>
          </w:p>
        </w:tc>
        <w:tc>
          <w:tcPr>
            <w:tcW w:w="1400" w:type="dxa"/>
            <w:tcBorders>
              <w:top w:val="single" w:sz="6" w:space="0" w:color="auto"/>
              <w:left w:val="single" w:sz="6" w:space="0" w:color="auto"/>
              <w:bottom w:val="single" w:sz="6" w:space="0" w:color="auto"/>
              <w:right w:val="single" w:sz="6" w:space="0" w:color="auto"/>
            </w:tcBorders>
            <w:vAlign w:val="center"/>
          </w:tcPr>
          <w:p w14:paraId="6DA18D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18.08.2007</w:t>
            </w:r>
          </w:p>
          <w:p w14:paraId="69C64B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775B57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062F2D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000000" w14:paraId="785CEE2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5C276F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6FF599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14:paraId="3C0D70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Мельник Юрiй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6A964C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2EFEA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90827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1981</w:t>
            </w:r>
          </w:p>
        </w:tc>
        <w:tc>
          <w:tcPr>
            <w:tcW w:w="1000" w:type="dxa"/>
            <w:tcBorders>
              <w:top w:val="single" w:sz="6" w:space="0" w:color="auto"/>
              <w:left w:val="single" w:sz="6" w:space="0" w:color="auto"/>
              <w:bottom w:val="single" w:sz="6" w:space="0" w:color="auto"/>
              <w:right w:val="single" w:sz="6" w:space="0" w:color="auto"/>
            </w:tcBorders>
            <w:vAlign w:val="center"/>
          </w:tcPr>
          <w:p w14:paraId="78DBA3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1D25219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348569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АТ "СК "IНГО", АТ "СК "IНГО ЖИТТЯ"</w:t>
            </w:r>
          </w:p>
          <w:p w14:paraId="7D1C0C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16285602, 35333145</w:t>
            </w:r>
          </w:p>
          <w:p w14:paraId="3816E4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 xml:space="preserve">Начальник вiддiлу/Корпоративний секретар АТ СК IНГО, Юрисконсульт/Корпоративний секретар АТ СК IНГО ЖИТТЯ, </w:t>
            </w:r>
          </w:p>
        </w:tc>
        <w:tc>
          <w:tcPr>
            <w:tcW w:w="1400" w:type="dxa"/>
            <w:tcBorders>
              <w:top w:val="single" w:sz="6" w:space="0" w:color="auto"/>
              <w:left w:val="single" w:sz="6" w:space="0" w:color="auto"/>
              <w:bottom w:val="single" w:sz="6" w:space="0" w:color="auto"/>
              <w:right w:val="single" w:sz="6" w:space="0" w:color="auto"/>
            </w:tcBorders>
            <w:vAlign w:val="center"/>
          </w:tcPr>
          <w:p w14:paraId="614B05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28.12.2023</w:t>
            </w:r>
          </w:p>
          <w:p w14:paraId="1628CC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 рокiв</w:t>
            </w:r>
          </w:p>
        </w:tc>
        <w:tc>
          <w:tcPr>
            <w:tcW w:w="1400" w:type="dxa"/>
            <w:tcBorders>
              <w:top w:val="single" w:sz="6" w:space="0" w:color="auto"/>
              <w:left w:val="single" w:sz="6" w:space="0" w:color="auto"/>
              <w:bottom w:val="single" w:sz="6" w:space="0" w:color="auto"/>
              <w:right w:val="single" w:sz="6" w:space="0" w:color="auto"/>
            </w:tcBorders>
            <w:vAlign w:val="center"/>
          </w:tcPr>
          <w:p w14:paraId="3629E4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00347A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2028308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pPr>
    </w:p>
    <w:p w14:paraId="40DA3F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0FD41A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3600"/>
        <w:gridCol w:w="1400"/>
        <w:gridCol w:w="1900"/>
        <w:gridCol w:w="1100"/>
      </w:tblGrid>
      <w:tr w:rsidR="00000000" w14:paraId="11C6DC2C" w14:textId="77777777">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14:paraId="571330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14:paraId="164829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14:paraId="696BBD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14:paraId="655A80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14:paraId="5BF914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14:paraId="7D8960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14:paraId="1A4F30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14:paraId="6B0691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14:paraId="761153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6DF40203" w14:textId="77777777">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14:paraId="14F93B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14:paraId="3866F4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14:paraId="60CAB8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14:paraId="5C21CB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14:paraId="1786CF3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14:paraId="29C88C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14:paraId="0DBE5A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14:paraId="5AAE441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1100" w:type="dxa"/>
            <w:tcBorders>
              <w:top w:val="single" w:sz="6" w:space="0" w:color="auto"/>
              <w:left w:val="single" w:sz="6" w:space="0" w:color="auto"/>
              <w:bottom w:val="single" w:sz="6" w:space="0" w:color="auto"/>
            </w:tcBorders>
            <w:vAlign w:val="center"/>
          </w:tcPr>
          <w:p w14:paraId="6A76E3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r>
      <w:tr w:rsidR="00000000" w14:paraId="5233F282" w14:textId="77777777">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14:paraId="44FE20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28.12.2023</w:t>
            </w:r>
          </w:p>
        </w:tc>
        <w:tc>
          <w:tcPr>
            <w:tcW w:w="2250" w:type="dxa"/>
            <w:tcBorders>
              <w:top w:val="single" w:sz="6" w:space="0" w:color="auto"/>
              <w:left w:val="single" w:sz="6" w:space="0" w:color="auto"/>
              <w:bottom w:val="single" w:sz="6" w:space="0" w:color="auto"/>
              <w:right w:val="single" w:sz="6" w:space="0" w:color="auto"/>
            </w:tcBorders>
            <w:vAlign w:val="center"/>
          </w:tcPr>
          <w:p w14:paraId="6433BDF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Мельник Юрiй Миколайович</w:t>
            </w:r>
          </w:p>
        </w:tc>
        <w:tc>
          <w:tcPr>
            <w:tcW w:w="1300" w:type="dxa"/>
            <w:tcBorders>
              <w:top w:val="single" w:sz="6" w:space="0" w:color="auto"/>
              <w:left w:val="single" w:sz="6" w:space="0" w:color="auto"/>
              <w:bottom w:val="single" w:sz="6" w:space="0" w:color="auto"/>
              <w:right w:val="single" w:sz="6" w:space="0" w:color="auto"/>
            </w:tcBorders>
            <w:vAlign w:val="center"/>
          </w:tcPr>
          <w:p w14:paraId="300C0A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14:paraId="58F0DD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14:paraId="2B6DC1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17</w:t>
            </w:r>
          </w:p>
        </w:tc>
        <w:tc>
          <w:tcPr>
            <w:tcW w:w="3600" w:type="dxa"/>
            <w:tcBorders>
              <w:top w:val="single" w:sz="6" w:space="0" w:color="auto"/>
              <w:left w:val="single" w:sz="6" w:space="0" w:color="auto"/>
              <w:bottom w:val="single" w:sz="6" w:space="0" w:color="auto"/>
              <w:right w:val="single" w:sz="6" w:space="0" w:color="auto"/>
            </w:tcBorders>
            <w:vAlign w:val="center"/>
          </w:tcPr>
          <w:p w14:paraId="2CA160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Акцiонерне товариство "Страхова компанiя "IНГО ЖИТТЯ"</w:t>
            </w:r>
          </w:p>
          <w:p w14:paraId="46080D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35333145</w:t>
            </w:r>
          </w:p>
          <w:p w14:paraId="3DEFF4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юрисконсульт </w:t>
            </w:r>
          </w:p>
        </w:tc>
        <w:tc>
          <w:tcPr>
            <w:tcW w:w="1400" w:type="dxa"/>
            <w:tcBorders>
              <w:top w:val="single" w:sz="6" w:space="0" w:color="auto"/>
              <w:left w:val="single" w:sz="6" w:space="0" w:color="auto"/>
              <w:bottom w:val="single" w:sz="6" w:space="0" w:color="auto"/>
              <w:right w:val="single" w:sz="6" w:space="0" w:color="auto"/>
            </w:tcBorders>
            <w:vAlign w:val="center"/>
          </w:tcPr>
          <w:p w14:paraId="398E9BE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14:paraId="2EFF17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067 4510144</w:t>
            </w:r>
          </w:p>
          <w:p w14:paraId="0B2CC1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ymelnik@ingo.ua</w:t>
            </w:r>
          </w:p>
        </w:tc>
        <w:tc>
          <w:tcPr>
            <w:tcW w:w="1100" w:type="dxa"/>
            <w:tcBorders>
              <w:top w:val="single" w:sz="6" w:space="0" w:color="auto"/>
              <w:left w:val="single" w:sz="6" w:space="0" w:color="auto"/>
              <w:bottom w:val="single" w:sz="6" w:space="0" w:color="auto"/>
            </w:tcBorders>
            <w:vAlign w:val="center"/>
          </w:tcPr>
          <w:p w14:paraId="4EF619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2DEB56E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pPr>
    </w:p>
    <w:p w14:paraId="387157B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14:paraId="348B8A52" w14:textId="77777777">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14:paraId="6F3F27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14:paraId="64D95F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022E2A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4010AF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5B3285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3C441D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1C3660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14:paraId="6D2EB9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Кількість за типами акцій</w:t>
            </w:r>
          </w:p>
        </w:tc>
      </w:tr>
      <w:tr w:rsidR="00000000" w14:paraId="1A42740E" w14:textId="77777777">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14:paraId="684646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14:paraId="6B1801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12EEB38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6A6A63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0E6743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2AA53F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207FF7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14:paraId="684C38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прості іменні</w:t>
            </w:r>
          </w:p>
        </w:tc>
        <w:tc>
          <w:tcPr>
            <w:tcW w:w="1700" w:type="dxa"/>
            <w:tcBorders>
              <w:top w:val="single" w:sz="6" w:space="0" w:color="auto"/>
              <w:left w:val="single" w:sz="6" w:space="0" w:color="auto"/>
              <w:bottom w:val="single" w:sz="6" w:space="0" w:color="auto"/>
            </w:tcBorders>
            <w:vAlign w:val="center"/>
          </w:tcPr>
          <w:p w14:paraId="4F2A06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привілейовані іменні</w:t>
            </w:r>
          </w:p>
        </w:tc>
      </w:tr>
      <w:tr w:rsidR="00000000" w14:paraId="4FD3A418"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26AE9E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5A9BC1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245AED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14:paraId="4F5CA35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14:paraId="2FF43CB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14:paraId="47CA24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14:paraId="30D6E6D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14:paraId="3F61815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1700" w:type="dxa"/>
            <w:tcBorders>
              <w:top w:val="single" w:sz="6" w:space="0" w:color="auto"/>
              <w:left w:val="single" w:sz="6" w:space="0" w:color="auto"/>
              <w:bottom w:val="single" w:sz="6" w:space="0" w:color="auto"/>
            </w:tcBorders>
            <w:vAlign w:val="center"/>
          </w:tcPr>
          <w:p w14:paraId="1AABE7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r>
      <w:tr w:rsidR="00000000" w14:paraId="07C7DB8C"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54B13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2C4156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Генеральний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14:paraId="61AE12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Рижова Тетяна Сергiївна</w:t>
            </w:r>
          </w:p>
        </w:tc>
        <w:tc>
          <w:tcPr>
            <w:tcW w:w="1625" w:type="dxa"/>
            <w:tcBorders>
              <w:top w:val="single" w:sz="6" w:space="0" w:color="auto"/>
              <w:left w:val="single" w:sz="6" w:space="0" w:color="auto"/>
              <w:bottom w:val="single" w:sz="6" w:space="0" w:color="auto"/>
              <w:right w:val="single" w:sz="6" w:space="0" w:color="auto"/>
            </w:tcBorders>
            <w:vAlign w:val="center"/>
          </w:tcPr>
          <w:p w14:paraId="6E1838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322C43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67220A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200CD7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27AB24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BA3D8F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06776338"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193E2C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14:paraId="013FFAE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14:paraId="0E888BE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Гордiєнко Iгор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14:paraId="276B70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FD594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FB896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1625" w:type="dxa"/>
            <w:tcBorders>
              <w:top w:val="single" w:sz="6" w:space="0" w:color="auto"/>
              <w:left w:val="single" w:sz="6" w:space="0" w:color="auto"/>
              <w:bottom w:val="single" w:sz="6" w:space="0" w:color="auto"/>
              <w:right w:val="single" w:sz="6" w:space="0" w:color="auto"/>
            </w:tcBorders>
            <w:vAlign w:val="center"/>
          </w:tcPr>
          <w:p w14:paraId="077B41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0,000476</w:t>
            </w:r>
          </w:p>
        </w:tc>
        <w:tc>
          <w:tcPr>
            <w:tcW w:w="1700" w:type="dxa"/>
            <w:tcBorders>
              <w:top w:val="single" w:sz="6" w:space="0" w:color="auto"/>
              <w:left w:val="single" w:sz="6" w:space="0" w:color="auto"/>
              <w:bottom w:val="single" w:sz="6" w:space="0" w:color="auto"/>
              <w:right w:val="single" w:sz="6" w:space="0" w:color="auto"/>
            </w:tcBorders>
            <w:vAlign w:val="center"/>
          </w:tcPr>
          <w:p w14:paraId="1E8217E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1700" w:type="dxa"/>
            <w:tcBorders>
              <w:top w:val="single" w:sz="6" w:space="0" w:color="auto"/>
              <w:left w:val="single" w:sz="6" w:space="0" w:color="auto"/>
              <w:bottom w:val="single" w:sz="6" w:space="0" w:color="auto"/>
            </w:tcBorders>
            <w:vAlign w:val="center"/>
          </w:tcPr>
          <w:p w14:paraId="7FDAC2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347C2D49"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2D25FF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14:paraId="25D479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В.о. Директора</w:t>
            </w:r>
          </w:p>
        </w:tc>
        <w:tc>
          <w:tcPr>
            <w:tcW w:w="2500" w:type="dxa"/>
            <w:tcBorders>
              <w:top w:val="single" w:sz="6" w:space="0" w:color="auto"/>
              <w:left w:val="single" w:sz="6" w:space="0" w:color="auto"/>
              <w:bottom w:val="single" w:sz="6" w:space="0" w:color="auto"/>
              <w:right w:val="single" w:sz="6" w:space="0" w:color="auto"/>
            </w:tcBorders>
            <w:vAlign w:val="center"/>
          </w:tcPr>
          <w:p w14:paraId="63527F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Колiсецька Людмила Олександрiвна</w:t>
            </w:r>
          </w:p>
        </w:tc>
        <w:tc>
          <w:tcPr>
            <w:tcW w:w="1625" w:type="dxa"/>
            <w:tcBorders>
              <w:top w:val="single" w:sz="6" w:space="0" w:color="auto"/>
              <w:left w:val="single" w:sz="6" w:space="0" w:color="auto"/>
              <w:bottom w:val="single" w:sz="6" w:space="0" w:color="auto"/>
              <w:right w:val="single" w:sz="6" w:space="0" w:color="auto"/>
            </w:tcBorders>
            <w:vAlign w:val="center"/>
          </w:tcPr>
          <w:p w14:paraId="6EF6ED2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1F4A4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7151A0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625" w:type="dxa"/>
            <w:tcBorders>
              <w:top w:val="single" w:sz="6" w:space="0" w:color="auto"/>
              <w:left w:val="single" w:sz="6" w:space="0" w:color="auto"/>
              <w:bottom w:val="single" w:sz="6" w:space="0" w:color="auto"/>
              <w:right w:val="single" w:sz="6" w:space="0" w:color="auto"/>
            </w:tcBorders>
            <w:vAlign w:val="center"/>
          </w:tcPr>
          <w:p w14:paraId="637BDB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0,005238</w:t>
            </w:r>
          </w:p>
        </w:tc>
        <w:tc>
          <w:tcPr>
            <w:tcW w:w="1700" w:type="dxa"/>
            <w:tcBorders>
              <w:top w:val="single" w:sz="6" w:space="0" w:color="auto"/>
              <w:left w:val="single" w:sz="6" w:space="0" w:color="auto"/>
              <w:bottom w:val="single" w:sz="6" w:space="0" w:color="auto"/>
              <w:right w:val="single" w:sz="6" w:space="0" w:color="auto"/>
            </w:tcBorders>
            <w:vAlign w:val="center"/>
          </w:tcPr>
          <w:p w14:paraId="21A984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700" w:type="dxa"/>
            <w:tcBorders>
              <w:top w:val="single" w:sz="6" w:space="0" w:color="auto"/>
              <w:left w:val="single" w:sz="6" w:space="0" w:color="auto"/>
              <w:bottom w:val="single" w:sz="6" w:space="0" w:color="auto"/>
            </w:tcBorders>
            <w:vAlign w:val="center"/>
          </w:tcPr>
          <w:p w14:paraId="7F3BCE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37493E62"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1AE20F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14:paraId="6D6B35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14:paraId="44DD8D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Шевченко Вiктор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14:paraId="028F35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B0CEB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9A21A5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6AD8F9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20F166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7F183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0C2F0EE0"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FEB06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14:paraId="467482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14:paraId="7EBDF2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Мацак Олександр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14:paraId="57FC19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7D7279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2B9A31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55579C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1D1FAF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3A000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32049456"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045A6F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14:paraId="1C758B2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tc>
        <w:tc>
          <w:tcPr>
            <w:tcW w:w="2500" w:type="dxa"/>
            <w:tcBorders>
              <w:top w:val="single" w:sz="6" w:space="0" w:color="auto"/>
              <w:left w:val="single" w:sz="6" w:space="0" w:color="auto"/>
              <w:bottom w:val="single" w:sz="6" w:space="0" w:color="auto"/>
              <w:right w:val="single" w:sz="6" w:space="0" w:color="auto"/>
            </w:tcBorders>
            <w:vAlign w:val="center"/>
          </w:tcPr>
          <w:p w14:paraId="6468FD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Рулiкiвська Наталiя Iванiвна</w:t>
            </w:r>
          </w:p>
        </w:tc>
        <w:tc>
          <w:tcPr>
            <w:tcW w:w="1625" w:type="dxa"/>
            <w:tcBorders>
              <w:top w:val="single" w:sz="6" w:space="0" w:color="auto"/>
              <w:left w:val="single" w:sz="6" w:space="0" w:color="auto"/>
              <w:bottom w:val="single" w:sz="6" w:space="0" w:color="auto"/>
              <w:right w:val="single" w:sz="6" w:space="0" w:color="auto"/>
            </w:tcBorders>
            <w:vAlign w:val="center"/>
          </w:tcPr>
          <w:p w14:paraId="2ADFC9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664E62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68264B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201832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5B4956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277797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000000" w14:paraId="3F887BF9"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74BB71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2450" w:type="dxa"/>
            <w:tcBorders>
              <w:top w:val="single" w:sz="6" w:space="0" w:color="auto"/>
              <w:left w:val="single" w:sz="6" w:space="0" w:color="auto"/>
              <w:bottom w:val="single" w:sz="6" w:space="0" w:color="auto"/>
              <w:right w:val="single" w:sz="6" w:space="0" w:color="auto"/>
            </w:tcBorders>
            <w:vAlign w:val="center"/>
          </w:tcPr>
          <w:p w14:paraId="560F2E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Корпоратиний серкетар</w:t>
            </w:r>
          </w:p>
        </w:tc>
        <w:tc>
          <w:tcPr>
            <w:tcW w:w="2500" w:type="dxa"/>
            <w:tcBorders>
              <w:top w:val="single" w:sz="6" w:space="0" w:color="auto"/>
              <w:left w:val="single" w:sz="6" w:space="0" w:color="auto"/>
              <w:bottom w:val="single" w:sz="6" w:space="0" w:color="auto"/>
              <w:right w:val="single" w:sz="6" w:space="0" w:color="auto"/>
            </w:tcBorders>
            <w:vAlign w:val="center"/>
          </w:tcPr>
          <w:p w14:paraId="1F74D9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Мельник Юрiй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14:paraId="60C6E00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88E33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25316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188D141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7748CC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3EE057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bl>
    <w:p w14:paraId="7208D0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pPr>
    </w:p>
    <w:p w14:paraId="57237A3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07136513"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lastRenderedPageBreak/>
        <w:t>3. Структура власності</w:t>
      </w:r>
    </w:p>
    <w:p w14:paraId="0E1931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https://life.ingo.ua/about#documentation</w:t>
      </w:r>
    </w:p>
    <w:p w14:paraId="777A39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26F31B1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Опис господарської та фінансової діяльності</w:t>
      </w:r>
    </w:p>
    <w:p w14:paraId="576285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Належнiсть особи до будь-яких об'єднань пiдприємств, повне найменування та мiсцезнаходження </w:t>
      </w:r>
    </w:p>
    <w:p w14:paraId="7996A2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об'єднання, опис дiяльностi об'єднання, строк участi особи у вiдповiдному об'єднаннi, роль особи в </w:t>
      </w:r>
    </w:p>
    <w:p w14:paraId="22D1E4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об'єднаннi, посилання на вебсайт об'єднання</w:t>
      </w:r>
    </w:p>
    <w:p w14:paraId="692DFD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АСОЦIАЦIЯ "НАЦIОНАЛЬНА АСОЦIАЦIЯ СТРАХОВИКIВ УКРАЇНИ" (НАСУ)</w:t>
      </w:r>
    </w:p>
    <w:p w14:paraId="245B90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Мiсцезнаходження: 01054, мiсто Київ, вул.Гончара Олеся, будинок 24, офiс 4.</w:t>
      </w:r>
    </w:p>
    <w:p w14:paraId="67D383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НАСУ є неприбутковою органiзацiєю та об'єднує страховикiв, маючи своїм завданням запровадження та </w:t>
      </w:r>
    </w:p>
    <w:p w14:paraId="386F6A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пiдтримку високого рiвня правил та стандартiв дiяльностi на ринку страхових послуг.</w:t>
      </w:r>
    </w:p>
    <w:p w14:paraId="256103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Строк участi - на перiод здiйснення дiяльностi.</w:t>
      </w:r>
    </w:p>
    <w:p w14:paraId="15E26E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AC663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7E4D4F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Спiльна дiяльнiсть, яку особа проводить з iншими органiзацiями, пiдприємствами, установами, при </w:t>
      </w:r>
    </w:p>
    <w:p w14:paraId="40CAAD9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цьому зазначаються сума вкладiв, мета вкладiв (отримання прибутку, iншi цiлi) та отриманий </w:t>
      </w:r>
    </w:p>
    <w:p w14:paraId="3A7189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фiнансовий результат за звiтний рiк з кожного виду спiльної дiяльностi.</w:t>
      </w:r>
    </w:p>
    <w:p w14:paraId="30B362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Емiтент здiйснює дiяльнiсть у межах банкiвської фiнансової групи "Кредит Днiпро" з юридичною </w:t>
      </w:r>
    </w:p>
    <w:p w14:paraId="6CD246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особою за законодавством України АТ "СК "IНГО"(ЄДРПОУ 16285602). Обидва учасника даної БФГ мають спiльних власникiв, одного й того ж регулятора страхового ринку (яким є Нацiональний банк України), здiйснюють свою </w:t>
      </w:r>
    </w:p>
    <w:p w14:paraId="59F05A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дiяльнiсть та подальше формування фiнансової звiтностi за єдиними принципами облiкової полiтики.</w:t>
      </w:r>
    </w:p>
    <w:p w14:paraId="74D8A0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585A4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2F85DA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Опис обраної облiкової полiтики (метод нарахування амортизацiї, метод оцiнки вартостi запасiв, </w:t>
      </w:r>
    </w:p>
    <w:p w14:paraId="6D2D29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метод облiку та оцiнки вартостi фiнансових iнвестицiй тощо):</w:t>
      </w:r>
    </w:p>
    <w:p w14:paraId="78A7AE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Амортизацiя</w:t>
      </w:r>
    </w:p>
    <w:p w14:paraId="53DA5E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Нарахування амортизацiї за основними засобами здiйснюється за прямолiнiйним методом за строками </w:t>
      </w:r>
    </w:p>
    <w:p w14:paraId="7B65D1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корисного використання активу, якi встановлюються, як правило (але не виключно), не меншими вiд </w:t>
      </w:r>
    </w:p>
    <w:p w14:paraId="0C1DE57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мiнiмально допустимих строкiв вiдповiдно до Податкового кодексу України, а саме:</w:t>
      </w:r>
    </w:p>
    <w:p w14:paraId="71F878F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будiвлi - вiд 20 рокiв;</w:t>
      </w:r>
    </w:p>
    <w:p w14:paraId="644596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споруди - вiд 15 рокiв;</w:t>
      </w:r>
    </w:p>
    <w:p w14:paraId="5C9E9B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передавальнi пристрої - вiд 10 рокiв;</w:t>
      </w:r>
    </w:p>
    <w:p w14:paraId="4BC454B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автотранспорт - вiд 5 рокiв;</w:t>
      </w:r>
    </w:p>
    <w:p w14:paraId="45F1B3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машини та обладнання - вiд 5 рокiв;</w:t>
      </w:r>
    </w:p>
    <w:p w14:paraId="647D9E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електронно-обчислювальнi машини, iншi машини для автоматичного оброблення iнформацiї, </w:t>
      </w:r>
    </w:p>
    <w:p w14:paraId="424264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пов'язанi з ними засоби зчитування або друку iнформацiї, пов'язанi з ними комп'ютернi програми (крiм </w:t>
      </w:r>
    </w:p>
    <w:p w14:paraId="080B2C8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програм, витрати на придбання яких визнаються роялтi, та/або програм, якi визнаються нематерiальним </w:t>
      </w:r>
    </w:p>
    <w:p w14:paraId="2FB736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активом), iншi iнформацiйнi системи, комутатори, маршрутизатори, модулi, модеми, джерела </w:t>
      </w:r>
    </w:p>
    <w:p w14:paraId="22A8B9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безперебiйного живлення та засоби їх пiдключення до телекомунiкацiйних мереж, телефони (у тому </w:t>
      </w:r>
    </w:p>
    <w:p w14:paraId="3DD3AB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числi стiльниковi), мiкрофони i рацiї, вартiсть яких перевищує 20 000,00 грн. - вiд 2 рокiв;</w:t>
      </w:r>
    </w:p>
    <w:p w14:paraId="7C61F05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iнструменти, прилади, iнвентар, меблi - вiд 4 рокiв.</w:t>
      </w:r>
    </w:p>
    <w:p w14:paraId="544E267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Амортизацiя нематерiальних активiв здiйснюється iз застосуванням прямолiнiйного методу впродовж </w:t>
      </w:r>
    </w:p>
    <w:p w14:paraId="5526ED5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очiкуваного строку їх корисного використання, але не менше вiд 2 рокiв i не бiльше нiж у перiод </w:t>
      </w:r>
    </w:p>
    <w:p w14:paraId="516AEB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10 рокiв.</w:t>
      </w:r>
    </w:p>
    <w:p w14:paraId="0DD8AA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Капiтальнi iнвестицiї у нематерiальнi активи, якi ще не введенi у експлуатацiю, вiдповiдно до </w:t>
      </w:r>
    </w:p>
    <w:p w14:paraId="4C070CB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принципiв МСФЗ для цiлей звiтностi визнаються нематерiальними активами. Зазначений принцип може </w:t>
      </w:r>
    </w:p>
    <w:p w14:paraId="457EE7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бути також застосований не тiльки до цiлiсного окремого об'єкту нематерiальних активiв, але й до етапу </w:t>
      </w:r>
    </w:p>
    <w:p w14:paraId="307678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R&amp;D (research and development), якщо за наслiдками такого етапу можуть бути створенi й </w:t>
      </w:r>
    </w:p>
    <w:p w14:paraId="4BFA46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документально пiдтвердженi новi проекти, прототипи нових дизайнiв майбутнiх продуктiв та/або </w:t>
      </w:r>
    </w:p>
    <w:p w14:paraId="5B6ADC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прототипи (у тому числi демо версiї тощо) комп'ютерних програм.</w:t>
      </w:r>
    </w:p>
    <w:p w14:paraId="2DA149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Запаси</w:t>
      </w:r>
    </w:p>
    <w:p w14:paraId="1F9C96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Собiвартiсть запасiв включає витрати на придбання, витрати на переробку та iншi витрати, понесенi пiд </w:t>
      </w:r>
    </w:p>
    <w:p w14:paraId="554B80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час доставки запасiв до їх теперiшнього мiсцезнаходження та приведення їх у теперiшнiй стан.</w:t>
      </w:r>
    </w:p>
    <w:p w14:paraId="4C8A72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Витрати, якi виключаються iз собiвартостi запасiв i визнаються як витрати перiоду, в якому вони </w:t>
      </w:r>
    </w:p>
    <w:p w14:paraId="764CB7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понесенi, є такi:</w:t>
      </w:r>
    </w:p>
    <w:p w14:paraId="78160B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 виробничi витрати;</w:t>
      </w:r>
    </w:p>
    <w:p w14:paraId="00B6332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б) витрати на зберiгання;</w:t>
      </w:r>
    </w:p>
    <w:p w14:paraId="68D444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адмiнiстративнi накладнi витрати, не пов'язанi з доставкою запасiв до їх теперiшнього </w:t>
      </w:r>
    </w:p>
    <w:p w14:paraId="325DF9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мiсцезнаходження та приведенням у теперiшнiй стан;</w:t>
      </w:r>
    </w:p>
    <w:p w14:paraId="5A2661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 витрати на продаж.</w:t>
      </w:r>
    </w:p>
    <w:p w14:paraId="0D715FD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Пiсля придбання вартiсть запасiв вiдноситься до складу витрат Компанiї.</w:t>
      </w:r>
    </w:p>
    <w:p w14:paraId="517659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Списання палива на службових автомобiлях вiдбувається щомiсяця на пiдставi первинної iнформацiї </w:t>
      </w:r>
    </w:p>
    <w:p w14:paraId="445B1FE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щодо обсягiв фактично заправленого палива.</w:t>
      </w:r>
    </w:p>
    <w:p w14:paraId="76E2F9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Абандон може визнаватися в балансi Компанiї та буде облiковуватися у такому випадку Компанiєю як </w:t>
      </w:r>
    </w:p>
    <w:p w14:paraId="7C8563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об'єкт, призначений для продажу (тобто як запаси). Витрати, пов'язанi з абандоном, визнаються як "Iншi </w:t>
      </w:r>
    </w:p>
    <w:p w14:paraId="2457D1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витрати операцiйної дiяльностi". Пiсля продажу такого об'єкту облiку отриманi доходи визнаються за </w:t>
      </w:r>
    </w:p>
    <w:p w14:paraId="580BB5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статтею "Iншi доходи".</w:t>
      </w:r>
    </w:p>
    <w:p w14:paraId="5451C3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Iнвестицiї</w:t>
      </w:r>
    </w:p>
    <w:p w14:paraId="5FC47F2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Iнвестицiї класифiкуються як фiнансовi активи та оцiнюються за методами, визначеними МСФЗ 9 </w:t>
      </w:r>
    </w:p>
    <w:p w14:paraId="104FBE1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iнструменти" та за Мiжнародними Стандартами щодо пiдготовки/складання звiтностi.</w:t>
      </w:r>
    </w:p>
    <w:p w14:paraId="5E3D0D1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iнвестицiї подiляються на довгостроковi та поточнi:</w:t>
      </w:r>
    </w:p>
    <w:p w14:paraId="672B17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зi строком погашення на дату балансу бiльше дванадцяти мiсяцiв, визнаються </w:t>
      </w:r>
    </w:p>
    <w:p w14:paraId="7B299B7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довгостроковими фiнансовими iнвестицiями;</w:t>
      </w:r>
    </w:p>
    <w:p w14:paraId="063D40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зi строком погашення на дату балансу не бiльше дванадцяти мiсяцiв, якi </w:t>
      </w:r>
    </w:p>
    <w:p w14:paraId="76D7B1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призначенi до продажу i можуть бути вiльно реалiзованi у будь-який момент, визнаються поточними </w:t>
      </w:r>
    </w:p>
    <w:p w14:paraId="4BD255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фiнансовими iнвестицiями.</w:t>
      </w:r>
    </w:p>
    <w:p w14:paraId="5F2E84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Аналiтичний облiк фiнансових iнвестицiй ведеться за видами фiнансових вкладень та за об'єктами </w:t>
      </w:r>
    </w:p>
    <w:p w14:paraId="16955FE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iнвестування.</w:t>
      </w:r>
    </w:p>
    <w:p w14:paraId="7B8BE4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як правило, первiсно визнаються та вiдображаються у бухгалтерському облiку за </w:t>
      </w:r>
    </w:p>
    <w:p w14:paraId="40BD56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собiвартiстю. Собiвартiсть фiнансової iнвестицiї складається з:</w:t>
      </w:r>
    </w:p>
    <w:p w14:paraId="3ABEC3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цiни придбання;</w:t>
      </w:r>
    </w:p>
    <w:p w14:paraId="4366DF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 що безпосередньо пов'язанi з їх придбанням.</w:t>
      </w:r>
    </w:p>
    <w:p w14:paraId="5C992F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(крiм iнвестицiй, що утримуються до їх погашення або облiковуються за методом </w:t>
      </w:r>
    </w:p>
    <w:p w14:paraId="7BB2DC7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участi в капiталi) на кожну дату балансу вiдображаються за справедливою вартiстю. З цiєю метою </w:t>
      </w:r>
    </w:p>
    <w:p w14:paraId="17C066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Компанiя здiйснює переоцiнку фiнансових iнвестицiй у вiдповiдностi до вимог МСФ 9 "Фiнансовi </w:t>
      </w:r>
    </w:p>
    <w:p w14:paraId="4B392D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iнструменти".</w:t>
      </w:r>
    </w:p>
    <w:p w14:paraId="6B8B93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Опис обраної полiтики щодо фiнансування дiяльностi особи, достатнiсть робочого капiталу для </w:t>
      </w:r>
    </w:p>
    <w:p w14:paraId="64B8AFB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поточних потреб, можливi шляхи покращення лiквiдностi.</w:t>
      </w:r>
    </w:p>
    <w:p w14:paraId="1C39EDD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здiйснює постiйне планування руху грошових коштiв, розмiщує грошовi кошти на </w:t>
      </w:r>
    </w:p>
    <w:p w14:paraId="75668D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депозитах з можливiстю оперативного зняття та розмiщує страховi резерви в високолiквiдних активах. </w:t>
      </w:r>
    </w:p>
    <w:p w14:paraId="7A3D0E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Страховик формує страховi резерви, що дають можливiсть безумовно виконувати взятi зобов'язання та </w:t>
      </w:r>
    </w:p>
    <w:p w14:paraId="135A61D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має в наявностi високолiквiднi активи, якi значно перевищують суми страхових резервiв.</w:t>
      </w:r>
    </w:p>
    <w:p w14:paraId="0D681BB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Всi кошти активiв, якi використовуються для покриття страхових резервiв та виконання зобов'язань за </w:t>
      </w:r>
    </w:p>
    <w:p w14:paraId="6DFB44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договорами страхування, розмiщуються в найбiльш надiйних та високолiквiдних активах: в депозитах в </w:t>
      </w:r>
    </w:p>
    <w:p w14:paraId="5B6E45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державних та мiжнародних банках, що мають високий рейтинг фiнансової надiйностi, та в правах </w:t>
      </w:r>
    </w:p>
    <w:p w14:paraId="30738B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вимоги до мiжнародних перестраховикiв з рейтингом фiнансової надiйностi вiд провiдних мiжнародних </w:t>
      </w:r>
    </w:p>
    <w:p w14:paraId="5BC38FB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рейтингових агенцiй не нижче "- uaAAA-uaA".</w:t>
      </w:r>
    </w:p>
    <w:p w14:paraId="786E68E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Опис полiтики щодо дослiджень та розробок, сума витрат на дослiдження та розробку за звiтний рiк.</w:t>
      </w:r>
    </w:p>
    <w:p w14:paraId="3EBC44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передбачена пунктом 5 не зазначається, якщо законом така iнформацiя визнана </w:t>
      </w:r>
    </w:p>
    <w:p w14:paraId="579A255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iнформацiєю з обмеженим доступом. </w:t>
      </w:r>
    </w:p>
    <w:p w14:paraId="4F989F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компанiї функцiонує структурний пiдроздiл Дирекцiя трансформацiй та клiєнтських сервiсiв, </w:t>
      </w:r>
    </w:p>
    <w:p w14:paraId="2D2DCF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першочерговим завданням якої є управлiння проектами з впровадження ефективних рiшень задля </w:t>
      </w:r>
    </w:p>
    <w:p w14:paraId="5181DF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забезпечення страхової дiяльностi, пiдвищення ефективностi використання ресурсiв компанiї шляхом </w:t>
      </w:r>
    </w:p>
    <w:p w14:paraId="7E5D61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автоматизацiї iснуючих бiзнес-процесiв та їх регулярного перегляду.</w:t>
      </w:r>
    </w:p>
    <w:p w14:paraId="5F7FC1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Сума коштiв, спрямованих на дослiдження та розробку (R&amp;D) за 2023 рiк становить 10 114 тис.грн., з </w:t>
      </w:r>
    </w:p>
    <w:p w14:paraId="4329C6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них витрати на оплату працi працiвникiв, задiяних у процесi, становить 8 655 тис. грн.</w:t>
      </w:r>
    </w:p>
    <w:p w14:paraId="34A791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компанiї функцiонує Дирекцiя з дослiдження та аналiзу ринку, першочерговим завданням якої є </w:t>
      </w:r>
    </w:p>
    <w:p w14:paraId="1B8C0F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вiдстеження ринкових тенденцiй та конкурентiв, проведення дослiджень ринку, орiєнтованих на роботу </w:t>
      </w:r>
    </w:p>
    <w:p w14:paraId="674465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даними, розробку та впровадження сценарiїв їх використання, пiдтримка у процесi розробки продуктiв </w:t>
      </w:r>
    </w:p>
    <w:p w14:paraId="45E887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 iнiцiювання створення нових.</w:t>
      </w:r>
    </w:p>
    <w:p w14:paraId="04B30F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Iнформацiя щодо продуктiв (товарiв або послуг) особи:</w:t>
      </w:r>
    </w:p>
    <w:p w14:paraId="64684B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опис продуктiв (товарiв та/або послуг), якi виробляє/надає особа;</w:t>
      </w:r>
    </w:p>
    <w:p w14:paraId="1017A9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обсяги виробництва (у натуральному та грошовому виразi);</w:t>
      </w:r>
    </w:p>
    <w:p w14:paraId="76D8066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середньореалiзацiйнi цiни продуктiв;</w:t>
      </w:r>
    </w:p>
    <w:p w14:paraId="5879E3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загальна сума виручки;</w:t>
      </w:r>
    </w:p>
    <w:p w14:paraId="57168F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загальна сума експорту, частка експорту в загальному обсязi продажiв;</w:t>
      </w:r>
    </w:p>
    <w:p w14:paraId="179D8F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залежнiсть вiд сезонних змiн;</w:t>
      </w:r>
    </w:p>
    <w:p w14:paraId="1289D3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основнi клiєнти (бiльше 5 % у загальнiй сумi виручки);</w:t>
      </w:r>
    </w:p>
    <w:p w14:paraId="4C87FE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ринки збуту та країни, в яких особою здiйснюється дiяльнiсть;</w:t>
      </w:r>
    </w:p>
    <w:p w14:paraId="184CDD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канали збуту;</w:t>
      </w:r>
    </w:p>
    <w:p w14:paraId="57D7E2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основнi постачальники та види товарiв та/або послуг, якi вони постачають/надають особi, країни з </w:t>
      </w:r>
    </w:p>
    <w:p w14:paraId="10231A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яких здiйснюється постачання/надання товарiв/послуг;</w:t>
      </w:r>
    </w:p>
    <w:p w14:paraId="2DC9BF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особливостi стану розвитку галузi, в якiй здiйснює дiяльнiсть особа;</w:t>
      </w:r>
    </w:p>
    <w:p w14:paraId="2FCAA5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опис технологiй, якi використовує особа у своїй дiяльностi;</w:t>
      </w:r>
    </w:p>
    <w:p w14:paraId="0C3C7A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мiсце особи на ринку, на якому вона здiйснює дiяльнiсть;</w:t>
      </w:r>
    </w:p>
    <w:p w14:paraId="073D90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рiвень конкуренцiя в галузi, основнi конкуренти особи;</w:t>
      </w:r>
    </w:p>
    <w:p w14:paraId="5FEDE65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перспективнi плани розвитку особи.</w:t>
      </w:r>
    </w:p>
    <w:p w14:paraId="44AB207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 та виключним видом дiяльностi Товариства є страхування життя, шляхом захисту майнових </w:t>
      </w:r>
    </w:p>
    <w:p w14:paraId="7409C5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iнтересiв фiзичних осiб, пов'язаних з життям, здоров'ям, працездатнiстю та пенсiйним забезпеченням, </w:t>
      </w:r>
    </w:p>
    <w:p w14:paraId="35FD09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через вiдшкодування шкоди у разi настання страхових випадкiв за рахунок грошових фондiв, що </w:t>
      </w:r>
    </w:p>
    <w:p w14:paraId="47745C9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формуються шляхом сплати ними страхових платежiв. Товариство здiйснює дiяльнiсть за лiцензiєю, </w:t>
      </w:r>
    </w:p>
    <w:p w14:paraId="560FE8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виданою Нацкомфiнпослуг. Ринком збуту послуг страхової дiяльностi, що надає товариство є Україна. </w:t>
      </w:r>
    </w:p>
    <w:p w14:paraId="3B5BA2E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Основними споживачами є фiзичнi особи. Методом продажу послуг товариства iз страхування є </w:t>
      </w:r>
    </w:p>
    <w:p w14:paraId="458475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пiдписання прямих договорiв страхування безпосередньо iз споживачами. Розрахунки iз </w:t>
      </w:r>
    </w:p>
    <w:p w14:paraId="05986D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страхувальниками здiйснюються своєчасно. Страхування дедалi стає iнвестицiйно привабливою </w:t>
      </w:r>
    </w:p>
    <w:p w14:paraId="43AD77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галуззю. Зростають обсяги страхування, страховi резерви i прибутковiсть. Внаслiдок цiєї тенденцiї в </w:t>
      </w:r>
    </w:p>
    <w:p w14:paraId="70D800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галузi спостерiгається висока конкуренцiя. Керiвництво Товариства проводить заходи щодо </w:t>
      </w:r>
    </w:p>
    <w:p w14:paraId="2986E3D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вдосконалення корпоративного менеджменту, збалансування структури доходiв, вивчає ситуацiю на </w:t>
      </w:r>
    </w:p>
    <w:p w14:paraId="36E079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ринку страхування, особливу увагу придiляючи потребам страхувальникiв, з метою розробки та </w:t>
      </w:r>
    </w:p>
    <w:p w14:paraId="5CB1DD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впровадження бiльш гнучких тарифiв та здобуття конкурентних переваг на ринку страхування. Для </w:t>
      </w:r>
    </w:p>
    <w:p w14:paraId="2E91FD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збiльшення страхових внескiв та розширення страхового поля товариство приймає ряд заходiв, серед </w:t>
      </w:r>
    </w:p>
    <w:p w14:paraId="31AD84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яких: якiсне надання послуг, допомога в правильному фiнансовому плануваннi доходiв i витрат клiєнтiв, </w:t>
      </w:r>
    </w:p>
    <w:p w14:paraId="68BE0C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впровадження додаткових можливостей для приватних осiб та бiзнесу, рекламування страхових послуг </w:t>
      </w:r>
    </w:p>
    <w:p w14:paraId="5E03F8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серед населення тощо. Завдяки створенню широкого спектру продуктової лiнiйки, застосуванню </w:t>
      </w:r>
    </w:p>
    <w:p w14:paraId="5953F89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маркетингових заходiв, дiяльнiсть товариства не залежить вiд сезонних змiн.</w:t>
      </w:r>
    </w:p>
    <w:p w14:paraId="05756FF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7. У разi якщо, особа є фiнансовою установою, то вказується iнформацiя передбачена пунктами 1 (в </w:t>
      </w:r>
    </w:p>
    <w:p w14:paraId="0554EA7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тому числi перелiк банкiвських та фiнансових послуг, якi фактично надавались такою фiнансовою </w:t>
      </w:r>
    </w:p>
    <w:p w14:paraId="25B29B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установою протягом звiтного перiоду), 4, 11-15.</w:t>
      </w:r>
    </w:p>
    <w:p w14:paraId="500E4F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звiтного перiоду 2023 року АТ "СК "IНГО ЖИТТЯ" надавало тiльки послуги зi </w:t>
      </w:r>
    </w:p>
    <w:p w14:paraId="501A00A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страхування життя, вiдповiдно до отриманої лiцензiї. Надання iнших видiв послуг (банкiвських або </w:t>
      </w:r>
    </w:p>
    <w:p w14:paraId="109842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фiнансових) не вiдбувалось.</w:t>
      </w:r>
    </w:p>
    <w:p w14:paraId="3C3C83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896D5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8. Опис ризикiв, як притаманнi дiяльностi особи, пiдходи до управлiння ризиками, заходи особи щодо </w:t>
      </w:r>
    </w:p>
    <w:p w14:paraId="4D99F75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зменшення впливу ризикiв.</w:t>
      </w:r>
    </w:p>
    <w:p w14:paraId="26B34D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Система управлiння ризиками АТ "СК "IНГО ЖИТТЯ"  спрямована на забезпечення виконання </w:t>
      </w:r>
    </w:p>
    <w:p w14:paraId="47B01E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зобов'язань перед клiєнтами, спiвробiтниками та акцiонерами шляхом виявлення ризикiв, оцiнки </w:t>
      </w:r>
    </w:p>
    <w:p w14:paraId="4AA15E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ймовiрностi їх реалiзацiї i масштабiв наслiдкiв, контролю за дотриманням допустимих меж ризикiв.</w:t>
      </w:r>
    </w:p>
    <w:p w14:paraId="2BC53D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Найбiльш важливi ризики для Страховика з точки зору управлiння ризиками вiдображаються на Картi </w:t>
      </w:r>
    </w:p>
    <w:p w14:paraId="48D4C5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ризикiв Страховика. Карта ризикiв, як iнструмент управлiння ризиками, мiстить iнформацiю щодо </w:t>
      </w:r>
    </w:p>
    <w:p w14:paraId="25B2E1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величини потенцiйного впливу ризикiв (кожного окремо) на фiнанси Страховика та мiри контролю за </w:t>
      </w:r>
    </w:p>
    <w:p w14:paraId="5A948A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цими ризиками (а також ступiнь їх впровадження). Карта ризикiв розробляється/переглядається </w:t>
      </w:r>
    </w:p>
    <w:p w14:paraId="0F8647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Головним ризик-менеджером щонайменше один раз в квартал.</w:t>
      </w:r>
    </w:p>
    <w:p w14:paraId="2D6381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Страховика в процесi його дiяльностi найбiльший вплив можуть мати наступнi категорiї ризикiв:</w:t>
      </w:r>
    </w:p>
    <w:p w14:paraId="5D7938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Андерайтинговий ризик;</w:t>
      </w:r>
    </w:p>
    <w:p w14:paraId="0E88AB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Ринковий ризик;</w:t>
      </w:r>
    </w:p>
    <w:p w14:paraId="2C3914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 дефолту контрагента;</w:t>
      </w:r>
    </w:p>
    <w:p w14:paraId="24E62E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Операцiйний ризик.</w:t>
      </w:r>
    </w:p>
    <w:p w14:paraId="2D9119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Зокрема у 2023 роцi АТ "СК "IНГО ЖИТТЯ" придiляла особливу увагу операцiйним ризикам, </w:t>
      </w:r>
    </w:p>
    <w:p w14:paraId="328AD7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оскiльки це саме та категорiя ризикiв, на яку Страхових має вплив та може їх мiнiмiзувати.</w:t>
      </w:r>
    </w:p>
    <w:p w14:paraId="1381D6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Також впродовж 2023 основними ризиками були:</w:t>
      </w:r>
    </w:p>
    <w:p w14:paraId="7708285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вплив вiйни i iнтенсивностi вiйськових дiй на дiяльнiсть Страховика;</w:t>
      </w:r>
    </w:p>
    <w:p w14:paraId="0F01351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BLACKOUT та його вплив на безперервне ведення бiзнесу Страховиком;</w:t>
      </w:r>
    </w:p>
    <w:p w14:paraId="3C5E0A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впровадження вимог 9 та 17 стандартiв МСФЗ в дiяльностi Страховика;</w:t>
      </w:r>
    </w:p>
    <w:p w14:paraId="7EBAEA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кiбер-ризики та загрози</w:t>
      </w:r>
    </w:p>
    <w:p w14:paraId="63D24A4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5776B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9. Стратегiя подальшої дiяльностi особи щонайменше на рiк (щодо розширення виробництва, </w:t>
      </w:r>
    </w:p>
    <w:p w14:paraId="215901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реконструкцiї, полiпшення фiнансового стану, опис iстотних факторiв, якi можуть вплинути на </w:t>
      </w:r>
    </w:p>
    <w:p w14:paraId="6E96F5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дiяльнiсть особи в майбутньому).</w:t>
      </w:r>
    </w:p>
    <w:p w14:paraId="305DB45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дотримується принципу безперервностi дiяльностi, в тому числi i пiд час дiї воєнного стану </w:t>
      </w:r>
    </w:p>
    <w:p w14:paraId="15DC4A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Українi, що передбачає здатнiсть компанiї реалiзовувати свої активи та виконувати свої зобов'язання </w:t>
      </w:r>
    </w:p>
    <w:p w14:paraId="3F20AC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ходi звичайної дiяльностi. Власники не мають намiру лiквiдувати, продати або скоротити масштаби </w:t>
      </w:r>
    </w:p>
    <w:p w14:paraId="63965B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дiяльностi компанiї. Хоча, вплив негативних обставин, спричинених воєнними дiями на територiї </w:t>
      </w:r>
    </w:p>
    <w:p w14:paraId="1A2E38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України у 2022-2023 рр., та їх поточнi наслiдки передбачити вкрай складно, проте вони можуть </w:t>
      </w:r>
    </w:p>
    <w:p w14:paraId="7A4B27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здiйснювати подальший негативний вплив на економiку України та бiзнес Товариства i у 2024 роцi. </w:t>
      </w:r>
    </w:p>
    <w:p w14:paraId="303845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компанiї затвердженi плановi показники дiяльностi на наступнi 5 рокiв. З метою запобiгання </w:t>
      </w:r>
    </w:p>
    <w:p w14:paraId="79DAA8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виникненню та сприяння виходу з кризових ситуацiй в компанiї створено пiдроздiл, який займається </w:t>
      </w:r>
    </w:p>
    <w:p w14:paraId="5486FC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вивченням всiх ризикiв, що потенцiйно мають негативний вплив на фiнансовий стан компанiї, їх </w:t>
      </w:r>
    </w:p>
    <w:p w14:paraId="598E9EF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оцiнкою та запобiганням (мiнiмiзацiя наслiдкiв дiї ризикiв). В компанiї запроваджено щоквартальний </w:t>
      </w:r>
    </w:p>
    <w:p w14:paraId="4F753A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контроль з боку акцiонерiв за оцiнкою ризикiв. Правлiння постiйно монiторить ситуацiю та вживає </w:t>
      </w:r>
    </w:p>
    <w:p w14:paraId="5F5239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вiдповiдних заходiв. Також в Товариствi запроваджено щоквартальний контроль з боку Наглядової ради </w:t>
      </w:r>
    </w:p>
    <w:p w14:paraId="706F57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оцiнкою ризикiв. </w:t>
      </w:r>
    </w:p>
    <w:p w14:paraId="7A85B4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Основнi придбання або вiдчуження активiв за останнi п'ять рокiв, а також якщо плануються будь-якi </w:t>
      </w:r>
    </w:p>
    <w:p w14:paraId="767A6B5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значнi iнвестицiї або придбання, то також необхiдно надати їх опис, включаючи суттєвi умови </w:t>
      </w:r>
    </w:p>
    <w:p w14:paraId="5173FB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придбання або iнвестицiї, їх вартiсть i спосiб фiнансування.</w:t>
      </w:r>
    </w:p>
    <w:p w14:paraId="6981B8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2023 року Товариство не здiйснювало купiвлю, продаж або iнше вiдчуження активiв в </w:t>
      </w:r>
    </w:p>
    <w:p w14:paraId="3095A4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обсягах, що перевищують тi, якi встановленi у Статутi.</w:t>
      </w:r>
    </w:p>
    <w:p w14:paraId="77DA672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Основнi засоби особи, включаючи об'єкти оренди та будь-якi значнi правочини особи щодо них; </w:t>
      </w:r>
    </w:p>
    <w:p w14:paraId="10B4C7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виробничi потужностi та ступiнь використання обладнання, спосiб утримання активiв, </w:t>
      </w:r>
    </w:p>
    <w:p w14:paraId="026660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мiсцезнаходження основних засобiв. Крiм того, необхiдно описати екологiчнi питання, що можуть </w:t>
      </w:r>
    </w:p>
    <w:p w14:paraId="2C8D4E0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позначитися на використаннi активiв пiдприємства, плани капiтального будiвництва, розширення або </w:t>
      </w:r>
    </w:p>
    <w:p w14:paraId="43F7FB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удосконалення основних засобiв, характер та причини таких планiв, суми видаткiв, у тому числi вже </w:t>
      </w:r>
    </w:p>
    <w:p w14:paraId="1B6ADB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зроблених, методи фiнансування, прогнознi дати початку та закiнчення дiяльностi та очiкуване </w:t>
      </w:r>
    </w:p>
    <w:p w14:paraId="6D60E5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зростання виробничих потужностей пiсля її завершення.</w:t>
      </w:r>
    </w:p>
    <w:p w14:paraId="395A9A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31.12.2023 залишкова вартiсть основних засобiв та нематерiальних активiв вiдображена у фiнансовiй звiтностi. Внаслiдок застосування зазначеного </w:t>
      </w:r>
    </w:p>
    <w:p w14:paraId="63DA20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Мiжнародного Стандарту станом на 31 грудня 2023 року у звiтностi Товариства визнано актив у формi </w:t>
      </w:r>
    </w:p>
    <w:p w14:paraId="421D61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права користування  та зобов'язання згiдно форм фiнансовї звiтностi. Данi зобов'язання вiдображено у промiжнiй </w:t>
      </w:r>
    </w:p>
    <w:p w14:paraId="7C393D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фiнансовiй звiтностi Товариства вiдповiдно до Мiжнародних Стандартiв Фiнансової Звiтностi. </w:t>
      </w:r>
    </w:p>
    <w:p w14:paraId="3AEEE54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9DF0E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12. Проблеми, якi впливають на дiяльнiсть особи, в тому числi ступiнь залежностi вiд законодавчих або </w:t>
      </w:r>
    </w:p>
    <w:p w14:paraId="7D3229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економiчних обмежень.</w:t>
      </w:r>
    </w:p>
    <w:p w14:paraId="086F10B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дiяльнiсть компанiї протягом звiтного року впливали наступнi фактори ризику:</w:t>
      </w:r>
    </w:p>
    <w:p w14:paraId="27E0B75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ризик дефолту контрагента - ризик неспроможностi контрагента (перестраховика, боржника </w:t>
      </w:r>
    </w:p>
    <w:p w14:paraId="72E53D7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 будь-якого дебiтора) виконати взятi на себе будь-якi договiрнi зобов'язання перед страховиком;.</w:t>
      </w:r>
    </w:p>
    <w:p w14:paraId="5F731F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зниження ризику компанiя проводить дуже жорсткий вiдбiр контрагентiв та працює тiльки з </w:t>
      </w:r>
    </w:p>
    <w:p w14:paraId="5E9B7A2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партнерами (перестраховиками та банками), якi мають найвищi мiжнароднi рейтинги фiнансової </w:t>
      </w:r>
    </w:p>
    <w:p w14:paraId="0DAAA5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надiйностi.</w:t>
      </w:r>
    </w:p>
    <w:p w14:paraId="66A0DB7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ризик недостатностi страхових премiй i резервiв - ризик, викликаний коливаннями частоти, </w:t>
      </w:r>
    </w:p>
    <w:p w14:paraId="440F62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середнiх розмiрiв та розподiлу збиткiв при настаннi страхових випадкiв.</w:t>
      </w:r>
    </w:p>
    <w:p w14:paraId="1D46A5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зниження ризику страховик формує страховi резерви, що дають можливiсть безумовно </w:t>
      </w:r>
    </w:p>
    <w:p w14:paraId="3A3509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виконувати взятi зобов'язання та має в наявностi високолiквiднi активи, якi значно перевищують суми </w:t>
      </w:r>
    </w:p>
    <w:p w14:paraId="1FB0E0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страхових резервiв.</w:t>
      </w:r>
    </w:p>
    <w:p w14:paraId="5F9019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ризик впливу катастроф - ризик, викликаний неточнiстю прогнозiв настання надзвичайних </w:t>
      </w:r>
    </w:p>
    <w:p w14:paraId="363322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подiй та оцiнок їх наслiдкiв.</w:t>
      </w:r>
    </w:p>
    <w:p w14:paraId="62C733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зниження цього ризику компанiя використовує договори перестрахування з географiчною </w:t>
      </w:r>
    </w:p>
    <w:p w14:paraId="0F13571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диверсифiкацiєю своєї страхової дiяльностi.</w:t>
      </w:r>
    </w:p>
    <w:p w14:paraId="7401C7E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валютний ризик - ризик, пов'язаний iз чутливiстю вартостi активiв та зобов'язань страховика </w:t>
      </w:r>
    </w:p>
    <w:p w14:paraId="035ED6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коливання курсiв обмiну валют.</w:t>
      </w:r>
    </w:p>
    <w:p w14:paraId="686A7B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зниження даного ризику компанiя укладає договори перестрахування в валютах </w:t>
      </w:r>
    </w:p>
    <w:p w14:paraId="58093F8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вiдповiдальностi за договорами страхування та здiйснює постiйний контроль за вiдповiднiстю валютних </w:t>
      </w:r>
    </w:p>
    <w:p w14:paraId="75D79A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активiв та зобов'язань.</w:t>
      </w:r>
    </w:p>
    <w:p w14:paraId="6B3CD2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ризик лiквiдностi - ризик того, що компанiя може стикнутися з труднощами в отриманнi </w:t>
      </w:r>
    </w:p>
    <w:p w14:paraId="177422D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лiквiдних коштiв для виконання своїх зобов'язань.</w:t>
      </w:r>
    </w:p>
    <w:p w14:paraId="5D6A59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Компанiя здiйснює постiйне планування руху грошових коштiв, розмiщує грошовi кошти на </w:t>
      </w:r>
    </w:p>
    <w:p w14:paraId="53FCDA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короткостроковi депозити та розмiщує страховi резерви в високолiквiдних активах.</w:t>
      </w:r>
    </w:p>
    <w:p w14:paraId="265205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 Вартiсть укладених, але ще не виконаних договорiв (контрактiв) на кiнець звiтного перiоду </w:t>
      </w:r>
    </w:p>
    <w:p w14:paraId="33992A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(загальний пiдсумок) та очiкуванi прибутки вiд виконання цих договорiв (контрактiв).</w:t>
      </w:r>
    </w:p>
    <w:p w14:paraId="16005BB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кiнець звiтного перiоду вартiсть укладених, але ще не виконаних договорiв складає згiдно даних фiнансової звiтностi. </w:t>
      </w:r>
    </w:p>
    <w:p w14:paraId="26CB9F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Вартiсть очiкуваних прибуткiв вiд виконання укладених контрактiв становить згiдно даних фiнансової звiтностi.</w:t>
      </w:r>
    </w:p>
    <w:p w14:paraId="6CAA1CD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надходженням страхових премiй в 2023 роцi АТ "СК "IНГО Життя" посiдає 10 мiсце на ринку, сума надходжень 293,0  тис.грн. </w:t>
      </w:r>
    </w:p>
    <w:p w14:paraId="5520565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зiбраними премiями в сумi 293,0  тис.грн. </w:t>
      </w:r>
    </w:p>
    <w:p w14:paraId="549D2E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Страховi виплати склали - 4 522 тис.грн. </w:t>
      </w:r>
    </w:p>
    <w:p w14:paraId="2D074D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Власний капiтал на кiнець року склав 55 126, тис. грн.</w:t>
      </w:r>
    </w:p>
    <w:p w14:paraId="0C421E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Вартiсть придбаних основних засобiв за 2023 рiк становить 58,0  _ тис. грн. Вартiсть вибуття основних засобiв за 2023 рiк становить 47,0  тис. грн.</w:t>
      </w:r>
    </w:p>
    <w:p w14:paraId="5F9BD5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8622E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31.12.2023 р. АТ "СК "IНГО Життя" має на балансi: </w:t>
      </w:r>
    </w:p>
    <w:p w14:paraId="6994977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Будинки та споруди - 26 775тис. грн.</w:t>
      </w:r>
    </w:p>
    <w:p w14:paraId="0483071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Транспортнi засоби - 125,0 тис. грн. </w:t>
      </w:r>
    </w:p>
    <w:p w14:paraId="31B408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ОЗ - 129,0 тис. грн.</w:t>
      </w:r>
    </w:p>
    <w:p w14:paraId="62AE362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Розмiр фонду оплати працi - 2 545,0 грн.</w:t>
      </w:r>
    </w:p>
    <w:p w14:paraId="505F5B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546B4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Загальна сума доходу, отримана Компанiєю за 2023 рiк, становить 12 459,0 тис. грн., з неї: </w:t>
      </w:r>
    </w:p>
    <w:p w14:paraId="348327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сума доходу вiд реалiзацiї страхових послуг - 293,0 тис. грн.; </w:t>
      </w:r>
    </w:p>
    <w:p w14:paraId="2684162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процентнi доходи - 8 372,0 тис. грн.;</w:t>
      </w:r>
    </w:p>
    <w:p w14:paraId="3453110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iншi доходи - 3 794,0 тис. грн.; </w:t>
      </w:r>
    </w:p>
    <w:p w14:paraId="71C186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861E0D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Загальна сума витрат (крiм витрат з податку на прибуток), понесених Компанiєю за 2023 рiк, становить 8 813,0  тис. грн., з неї: </w:t>
      </w:r>
    </w:p>
    <w:p w14:paraId="4DFBF2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витрати за страховими вимогами - 4 522 тис. грн.;  </w:t>
      </w:r>
    </w:p>
    <w:p w14:paraId="558845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 iншi витрати на страховi послуги - 1585,0 тис. грн.; </w:t>
      </w:r>
    </w:p>
    <w:p w14:paraId="67D2D2B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адмiнiстративнi витрати - 2 628,0  тис. грн. </w:t>
      </w:r>
    </w:p>
    <w:p w14:paraId="1DE9E0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фiнансовi витрати - 268,0 тис. грн.; </w:t>
      </w:r>
    </w:p>
    <w:p w14:paraId="3054FAF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iншi витрати -78,0  тис. грн.; </w:t>
      </w:r>
    </w:p>
    <w:p w14:paraId="472D99D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Фiнансовий результат до оподаткування за 2023 рiк становить 3 378,0 тис. грн. прибутку. </w:t>
      </w:r>
    </w:p>
    <w:p w14:paraId="3B74D1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B8EA0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Витрати з податку на прибуток Компанiї склали 697,0 тис. грн. </w:t>
      </w:r>
    </w:p>
    <w:p w14:paraId="79B463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Чистий фiнансовий результат по Компанiї за 2023 рiк становить 2 681,0 тис. грн. прибутку.</w:t>
      </w:r>
    </w:p>
    <w:p w14:paraId="185A15B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300F7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Середньооблiкова чисельнiсть штатних працiвникiв особи, середня чисельнiсть позаштатних </w:t>
      </w:r>
    </w:p>
    <w:p w14:paraId="672DB0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працiвникiв та осiб, якi працюють за сумiсництвом, чисельнiсть працiвникiв, якi працюють на умовах </w:t>
      </w:r>
    </w:p>
    <w:p w14:paraId="5ECEB0B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неповного робочого часу (дня, тижня), розмiр фонду оплати працi. Крiм того, зазначається про факти </w:t>
      </w:r>
    </w:p>
    <w:p w14:paraId="3A5DF1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розмiру фонду оплати працi, його збiльшення або зменшення вiдносно попереднього року.</w:t>
      </w:r>
    </w:p>
    <w:p w14:paraId="4105105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Середньооблiкова чисельнiсть постiйно працюючих працiвникiв становить 3 особи.</w:t>
      </w:r>
    </w:p>
    <w:p w14:paraId="7A4F9B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Чисельнiсть працiвникiв, якi працюють за сумiсництвом на 31.12.2023 - вiдсутнi</w:t>
      </w:r>
    </w:p>
    <w:p w14:paraId="5B1670D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Чисельнiсть працiвникiв, якi працюють на умовах неповного робочого часу на 31.12.2023 - вiдсутнi.</w:t>
      </w:r>
    </w:p>
    <w:p w14:paraId="06F481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D1D27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15. Будь-якi пропозицiї щодо реорганiзацiї з боку третiх осiб, що мали мiсце протягом звiтного перiоду, </w:t>
      </w:r>
    </w:p>
    <w:p w14:paraId="128B923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умови та результати цих пропозицiй.</w:t>
      </w:r>
    </w:p>
    <w:p w14:paraId="0F747C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Пропозицiй щодо реорганiзацiї з боку третiх осiб не було.</w:t>
      </w:r>
    </w:p>
    <w:p w14:paraId="02C8E5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16. Iнша iнформацiя, яка може бути iстотною для оцiнки стейкхолдерами фiнансового стану та </w:t>
      </w:r>
    </w:p>
    <w:p w14:paraId="70072E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результатiв дiяльностi особи.</w:t>
      </w:r>
    </w:p>
    <w:p w14:paraId="5E93F4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Показники дiяльностi АТ СК "IНГО ЖИТТЯ" за 2023 рiк визначенi у формах фiнансової звiтностi.</w:t>
      </w:r>
    </w:p>
    <w:p w14:paraId="6D0B94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039B7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4306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335FD5FF"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14:paraId="0CE4125A"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7EA172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12A225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719706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49F204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649D98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закінчення строку дії ліцензії (за наявності)</w:t>
            </w:r>
          </w:p>
        </w:tc>
      </w:tr>
      <w:tr w:rsidR="00000000" w14:paraId="78BC2551"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14:paraId="24A0C0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500" w:type="dxa"/>
            <w:tcBorders>
              <w:top w:val="single" w:sz="6" w:space="0" w:color="auto"/>
              <w:left w:val="single" w:sz="6" w:space="0" w:color="auto"/>
              <w:bottom w:val="single" w:sz="6" w:space="0" w:color="auto"/>
              <w:right w:val="single" w:sz="6" w:space="0" w:color="auto"/>
            </w:tcBorders>
            <w:vAlign w:val="center"/>
          </w:tcPr>
          <w:p w14:paraId="4615B0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065" w:type="dxa"/>
            <w:tcBorders>
              <w:top w:val="single" w:sz="6" w:space="0" w:color="auto"/>
              <w:left w:val="single" w:sz="6" w:space="0" w:color="auto"/>
              <w:bottom w:val="single" w:sz="6" w:space="0" w:color="auto"/>
              <w:right w:val="single" w:sz="6" w:space="0" w:color="auto"/>
            </w:tcBorders>
            <w:vAlign w:val="center"/>
          </w:tcPr>
          <w:p w14:paraId="490E6F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000" w:type="dxa"/>
            <w:tcBorders>
              <w:top w:val="single" w:sz="6" w:space="0" w:color="auto"/>
              <w:left w:val="single" w:sz="6" w:space="0" w:color="auto"/>
              <w:bottom w:val="single" w:sz="6" w:space="0" w:color="auto"/>
              <w:right w:val="single" w:sz="6" w:space="0" w:color="auto"/>
            </w:tcBorders>
            <w:vAlign w:val="center"/>
          </w:tcPr>
          <w:p w14:paraId="49DB70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200" w:type="dxa"/>
            <w:tcBorders>
              <w:top w:val="single" w:sz="6" w:space="0" w:color="auto"/>
              <w:left w:val="single" w:sz="6" w:space="0" w:color="auto"/>
              <w:bottom w:val="single" w:sz="6" w:space="0" w:color="auto"/>
            </w:tcBorders>
            <w:vAlign w:val="center"/>
          </w:tcPr>
          <w:p w14:paraId="027FB7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r w:rsidR="00000000" w14:paraId="40439C8C" w14:textId="77777777">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14:paraId="64F0847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добровiльне страхування життя</w:t>
            </w:r>
          </w:p>
        </w:tc>
        <w:tc>
          <w:tcPr>
            <w:tcW w:w="1500" w:type="dxa"/>
            <w:tcBorders>
              <w:top w:val="single" w:sz="6" w:space="0" w:color="auto"/>
              <w:left w:val="single" w:sz="6" w:space="0" w:color="auto"/>
              <w:bottom w:val="single" w:sz="6" w:space="0" w:color="auto"/>
              <w:right w:val="single" w:sz="6" w:space="0" w:color="auto"/>
            </w:tcBorders>
          </w:tcPr>
          <w:p w14:paraId="7A15E91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АВ499986</w:t>
            </w:r>
          </w:p>
        </w:tc>
        <w:tc>
          <w:tcPr>
            <w:tcW w:w="1065" w:type="dxa"/>
            <w:tcBorders>
              <w:top w:val="single" w:sz="6" w:space="0" w:color="auto"/>
              <w:left w:val="single" w:sz="6" w:space="0" w:color="auto"/>
              <w:bottom w:val="single" w:sz="6" w:space="0" w:color="auto"/>
              <w:right w:val="single" w:sz="6" w:space="0" w:color="auto"/>
            </w:tcBorders>
          </w:tcPr>
          <w:p w14:paraId="359C3C3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18.05.2010</w:t>
            </w:r>
          </w:p>
        </w:tc>
        <w:tc>
          <w:tcPr>
            <w:tcW w:w="3000" w:type="dxa"/>
            <w:tcBorders>
              <w:top w:val="single" w:sz="6" w:space="0" w:color="auto"/>
              <w:left w:val="single" w:sz="6" w:space="0" w:color="auto"/>
              <w:bottom w:val="single" w:sz="6" w:space="0" w:color="auto"/>
              <w:right w:val="single" w:sz="6" w:space="0" w:color="auto"/>
            </w:tcBorders>
          </w:tcPr>
          <w:p w14:paraId="45BE3B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ДКРРФП</w:t>
            </w:r>
          </w:p>
        </w:tc>
        <w:tc>
          <w:tcPr>
            <w:tcW w:w="1200" w:type="dxa"/>
            <w:tcBorders>
              <w:top w:val="single" w:sz="6" w:space="0" w:color="auto"/>
              <w:left w:val="single" w:sz="6" w:space="0" w:color="auto"/>
              <w:bottom w:val="single" w:sz="6" w:space="0" w:color="auto"/>
            </w:tcBorders>
          </w:tcPr>
          <w:p w14:paraId="2DF8E3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02.08.2024</w:t>
            </w:r>
          </w:p>
        </w:tc>
      </w:tr>
    </w:tbl>
    <w:p w14:paraId="7CD976E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3DB295A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14:paraId="21A66CBC" w14:textId="77777777">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14:paraId="072390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7A776C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52869A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10DDA24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 усього, тис. грн</w:t>
            </w:r>
          </w:p>
        </w:tc>
      </w:tr>
      <w:tr w:rsidR="00000000" w14:paraId="05EF30DC" w14:textId="77777777">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14:paraId="08A628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60" w:type="dxa"/>
            <w:tcBorders>
              <w:top w:val="single" w:sz="6" w:space="0" w:color="auto"/>
              <w:left w:val="single" w:sz="6" w:space="0" w:color="auto"/>
              <w:bottom w:val="single" w:sz="6" w:space="0" w:color="auto"/>
              <w:right w:val="single" w:sz="6" w:space="0" w:color="auto"/>
            </w:tcBorders>
            <w:vAlign w:val="center"/>
          </w:tcPr>
          <w:p w14:paraId="697E35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29E4561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7C79A2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F71B64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486B12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14:paraId="4EBEB9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r>
      <w:tr w:rsidR="00000000" w14:paraId="601DA801"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44321C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516EA8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D4080D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E9C96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84B20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530D7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5DC816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A920E4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6CC3098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115242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26 775</w:t>
            </w:r>
          </w:p>
        </w:tc>
        <w:tc>
          <w:tcPr>
            <w:tcW w:w="1080" w:type="dxa"/>
            <w:tcBorders>
              <w:top w:val="single" w:sz="6" w:space="0" w:color="auto"/>
              <w:left w:val="single" w:sz="6" w:space="0" w:color="auto"/>
              <w:bottom w:val="single" w:sz="6" w:space="0" w:color="auto"/>
              <w:right w:val="single" w:sz="6" w:space="0" w:color="auto"/>
            </w:tcBorders>
            <w:vAlign w:val="center"/>
          </w:tcPr>
          <w:p w14:paraId="1BC3D3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26 295</w:t>
            </w:r>
          </w:p>
        </w:tc>
        <w:tc>
          <w:tcPr>
            <w:tcW w:w="1260" w:type="dxa"/>
            <w:tcBorders>
              <w:top w:val="single" w:sz="6" w:space="0" w:color="auto"/>
              <w:left w:val="single" w:sz="6" w:space="0" w:color="auto"/>
              <w:bottom w:val="single" w:sz="6" w:space="0" w:color="auto"/>
              <w:right w:val="single" w:sz="6" w:space="0" w:color="auto"/>
            </w:tcBorders>
            <w:vAlign w:val="center"/>
          </w:tcPr>
          <w:p w14:paraId="429EA8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BAA11C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67971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26 775</w:t>
            </w:r>
          </w:p>
        </w:tc>
        <w:tc>
          <w:tcPr>
            <w:tcW w:w="1082" w:type="dxa"/>
            <w:tcBorders>
              <w:top w:val="single" w:sz="6" w:space="0" w:color="auto"/>
              <w:left w:val="single" w:sz="6" w:space="0" w:color="auto"/>
              <w:bottom w:val="single" w:sz="6" w:space="0" w:color="auto"/>
            </w:tcBorders>
            <w:vAlign w:val="center"/>
          </w:tcPr>
          <w:p w14:paraId="1C0298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26 295</w:t>
            </w:r>
          </w:p>
        </w:tc>
      </w:tr>
      <w:tr w:rsidR="00000000" w14:paraId="518BDF28"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403AF57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30E896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5E746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47FD6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757BB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BCEED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3C883CA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BF7DBC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DFCF17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BC897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125</w:t>
            </w:r>
          </w:p>
        </w:tc>
        <w:tc>
          <w:tcPr>
            <w:tcW w:w="1080" w:type="dxa"/>
            <w:tcBorders>
              <w:top w:val="single" w:sz="6" w:space="0" w:color="auto"/>
              <w:left w:val="single" w:sz="6" w:space="0" w:color="auto"/>
              <w:bottom w:val="single" w:sz="6" w:space="0" w:color="auto"/>
              <w:right w:val="single" w:sz="6" w:space="0" w:color="auto"/>
            </w:tcBorders>
            <w:vAlign w:val="center"/>
          </w:tcPr>
          <w:p w14:paraId="0956F3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w:t>
            </w:r>
          </w:p>
        </w:tc>
        <w:tc>
          <w:tcPr>
            <w:tcW w:w="1260" w:type="dxa"/>
            <w:tcBorders>
              <w:top w:val="single" w:sz="6" w:space="0" w:color="auto"/>
              <w:left w:val="single" w:sz="6" w:space="0" w:color="auto"/>
              <w:bottom w:val="single" w:sz="6" w:space="0" w:color="auto"/>
              <w:right w:val="single" w:sz="6" w:space="0" w:color="auto"/>
            </w:tcBorders>
            <w:vAlign w:val="center"/>
          </w:tcPr>
          <w:p w14:paraId="67C008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D0817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A88A37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125</w:t>
            </w:r>
          </w:p>
        </w:tc>
        <w:tc>
          <w:tcPr>
            <w:tcW w:w="1082" w:type="dxa"/>
            <w:tcBorders>
              <w:top w:val="single" w:sz="6" w:space="0" w:color="auto"/>
              <w:left w:val="single" w:sz="6" w:space="0" w:color="auto"/>
              <w:bottom w:val="single" w:sz="6" w:space="0" w:color="auto"/>
            </w:tcBorders>
            <w:vAlign w:val="center"/>
          </w:tcPr>
          <w:p w14:paraId="76F339A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w:t>
            </w:r>
          </w:p>
        </w:tc>
      </w:tr>
      <w:tr w:rsidR="00000000" w14:paraId="7D9DE69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EB7B4A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089AC75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4DDDF1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EC486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45724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E136D1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7A4D2C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2E8286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DA54D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39A9B5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129</w:t>
            </w:r>
          </w:p>
        </w:tc>
        <w:tc>
          <w:tcPr>
            <w:tcW w:w="1080" w:type="dxa"/>
            <w:tcBorders>
              <w:top w:val="single" w:sz="6" w:space="0" w:color="auto"/>
              <w:left w:val="single" w:sz="6" w:space="0" w:color="auto"/>
              <w:bottom w:val="single" w:sz="6" w:space="0" w:color="auto"/>
              <w:right w:val="single" w:sz="6" w:space="0" w:color="auto"/>
            </w:tcBorders>
            <w:vAlign w:val="center"/>
          </w:tcPr>
          <w:p w14:paraId="3E96D7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w:t>
            </w:r>
          </w:p>
        </w:tc>
        <w:tc>
          <w:tcPr>
            <w:tcW w:w="1260" w:type="dxa"/>
            <w:tcBorders>
              <w:top w:val="single" w:sz="6" w:space="0" w:color="auto"/>
              <w:left w:val="single" w:sz="6" w:space="0" w:color="auto"/>
              <w:bottom w:val="single" w:sz="6" w:space="0" w:color="auto"/>
              <w:right w:val="single" w:sz="6" w:space="0" w:color="auto"/>
            </w:tcBorders>
            <w:vAlign w:val="center"/>
          </w:tcPr>
          <w:p w14:paraId="3BE890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40E83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BDDD71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129</w:t>
            </w:r>
          </w:p>
        </w:tc>
        <w:tc>
          <w:tcPr>
            <w:tcW w:w="1082" w:type="dxa"/>
            <w:tcBorders>
              <w:top w:val="single" w:sz="6" w:space="0" w:color="auto"/>
              <w:left w:val="single" w:sz="6" w:space="0" w:color="auto"/>
              <w:bottom w:val="single" w:sz="6" w:space="0" w:color="auto"/>
            </w:tcBorders>
            <w:vAlign w:val="center"/>
          </w:tcPr>
          <w:p w14:paraId="289262E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w:t>
            </w:r>
          </w:p>
        </w:tc>
      </w:tr>
      <w:tr w:rsidR="00000000" w14:paraId="00B605CB"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6F63E3D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6629A8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7388D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F87F8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E646C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DB053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407FC5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395B03C"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6209005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0E5E909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CDD38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DD09C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71185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64855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100BE6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F88D438"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096C67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03478B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AD104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FAA768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99280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469A4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63DE3A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89AFB09"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F4254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EC076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88B9F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F7091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C7F92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51D15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17C055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3EC23DD"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C9D75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FAF3C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0AFF8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9E2DA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EE3B8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133C6C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0A5E04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2EE2C44"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528AFE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24EFEF0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3B0CF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124C9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B4991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06032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2585A3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68555A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624E18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5FECD4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B8FF9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D51302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EB0FA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695FB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52F0AF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C1DFA23"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43509E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31CA53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27 029</w:t>
            </w:r>
          </w:p>
        </w:tc>
        <w:tc>
          <w:tcPr>
            <w:tcW w:w="1080" w:type="dxa"/>
            <w:tcBorders>
              <w:top w:val="single" w:sz="6" w:space="0" w:color="auto"/>
              <w:left w:val="single" w:sz="6" w:space="0" w:color="auto"/>
              <w:bottom w:val="single" w:sz="6" w:space="0" w:color="auto"/>
              <w:right w:val="single" w:sz="6" w:space="0" w:color="auto"/>
            </w:tcBorders>
            <w:vAlign w:val="center"/>
          </w:tcPr>
          <w:p w14:paraId="39E72C8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26 468</w:t>
            </w:r>
          </w:p>
        </w:tc>
        <w:tc>
          <w:tcPr>
            <w:tcW w:w="1260" w:type="dxa"/>
            <w:tcBorders>
              <w:top w:val="single" w:sz="6" w:space="0" w:color="auto"/>
              <w:left w:val="single" w:sz="6" w:space="0" w:color="auto"/>
              <w:bottom w:val="single" w:sz="6" w:space="0" w:color="auto"/>
              <w:right w:val="single" w:sz="6" w:space="0" w:color="auto"/>
            </w:tcBorders>
            <w:vAlign w:val="center"/>
          </w:tcPr>
          <w:p w14:paraId="74A46F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356FC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B1F14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27 029</w:t>
            </w:r>
          </w:p>
        </w:tc>
        <w:tc>
          <w:tcPr>
            <w:tcW w:w="1082" w:type="dxa"/>
            <w:tcBorders>
              <w:top w:val="single" w:sz="6" w:space="0" w:color="auto"/>
              <w:left w:val="single" w:sz="6" w:space="0" w:color="auto"/>
              <w:bottom w:val="single" w:sz="6" w:space="0" w:color="auto"/>
            </w:tcBorders>
            <w:vAlign w:val="center"/>
          </w:tcPr>
          <w:p w14:paraId="125AAF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26 468</w:t>
            </w:r>
          </w:p>
        </w:tc>
      </w:tr>
      <w:tr w:rsidR="00000000" w14:paraId="4A57B2BB"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14:paraId="6511F5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7CFB28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станом на 31.12.2024 року справедлива вартiсть обєкта нерухомостi була визначена ан пiдставi результатiв незалежної оцiнки. Для оцiнки обєкта нерухомостi використано ринковий метод, який грунтується на порiвняльному аналiзi результатiв продажiв аналогiчної нерухомостi.</w:t>
            </w:r>
          </w:p>
        </w:tc>
      </w:tr>
    </w:tbl>
    <w:p w14:paraId="21708D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75EC3C6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14:paraId="43B1D4C2"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02D5C2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5D83A6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1E8EB4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63BFF5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56422C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погашення</w:t>
            </w:r>
          </w:p>
        </w:tc>
      </w:tr>
      <w:tr w:rsidR="00000000" w14:paraId="347682BD"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183C01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510E87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57558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71D2A3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8D3E7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FB33979"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418253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3FC04F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30CF2C6"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9B0B7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w:t>
            </w:r>
            <w:r>
              <w:rPr>
                <w:rFonts w:ascii="Times New Roman CYR" w:hAnsi="Times New Roman CYR" w:cs="Times New Roman CYR"/>
                <w:kern w:val="0"/>
                <w:sz w:val="22"/>
                <w:szCs w:val="22"/>
              </w:rPr>
              <w:t>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7B8F47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2B1AE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582232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5C8A5C8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517E843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62CA6B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0A7F52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3AE28FF3"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7DA336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95E80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96229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5D4F8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565CA2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9FB580B"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0B925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9EC49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78CA6C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8B860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45AC9C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5C9C7CEA"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4A6D70C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638CEA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00FC02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674C4FB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59B29B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0DBDEBD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7A710D9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5E248D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B4951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6BB933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50BB8D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2C69351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4A0E51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24B42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C487D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440CDF0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CD402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2D95619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5B277E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151A29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7AABF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5C89F9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42C96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1E2F3B4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56CDE2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33792F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B1ACB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437</w:t>
            </w:r>
          </w:p>
        </w:tc>
        <w:tc>
          <w:tcPr>
            <w:tcW w:w="1940" w:type="dxa"/>
            <w:tcBorders>
              <w:top w:val="single" w:sz="6" w:space="0" w:color="auto"/>
              <w:left w:val="single" w:sz="6" w:space="0" w:color="auto"/>
              <w:bottom w:val="single" w:sz="6" w:space="0" w:color="auto"/>
              <w:right w:val="single" w:sz="6" w:space="0" w:color="auto"/>
            </w:tcBorders>
            <w:vAlign w:val="center"/>
          </w:tcPr>
          <w:p w14:paraId="5DEE16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1D11C1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1937E74C"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501F0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06868D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72DCEF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0E596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2CC78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31C49D0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0B120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764462A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88905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59</w:t>
            </w:r>
          </w:p>
        </w:tc>
        <w:tc>
          <w:tcPr>
            <w:tcW w:w="1940" w:type="dxa"/>
            <w:tcBorders>
              <w:top w:val="single" w:sz="6" w:space="0" w:color="auto"/>
              <w:left w:val="single" w:sz="6" w:space="0" w:color="auto"/>
              <w:bottom w:val="single" w:sz="6" w:space="0" w:color="auto"/>
              <w:right w:val="single" w:sz="6" w:space="0" w:color="auto"/>
            </w:tcBorders>
            <w:vAlign w:val="center"/>
          </w:tcPr>
          <w:p w14:paraId="7B9DE93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409A9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529C7B3"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5EC9EB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440" w:type="dxa"/>
            <w:tcBorders>
              <w:top w:val="single" w:sz="6" w:space="0" w:color="auto"/>
              <w:left w:val="single" w:sz="6" w:space="0" w:color="auto"/>
              <w:bottom w:val="single" w:sz="6" w:space="0" w:color="auto"/>
              <w:right w:val="single" w:sz="6" w:space="0" w:color="auto"/>
            </w:tcBorders>
          </w:tcPr>
          <w:p w14:paraId="0365A0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6CD2FA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tcPr>
          <w:p w14:paraId="74E3A3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5C019E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B1EE153"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6EDEF0E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w:t>
            </w:r>
            <w:r>
              <w:rPr>
                <w:rFonts w:ascii="Times New Roman CYR" w:hAnsi="Times New Roman CYR" w:cs="Times New Roman CYR"/>
                <w:kern w:val="0"/>
                <w:sz w:val="22"/>
                <w:szCs w:val="22"/>
              </w:rPr>
              <w:t>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79CC7D5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4F198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496</w:t>
            </w:r>
          </w:p>
        </w:tc>
        <w:tc>
          <w:tcPr>
            <w:tcW w:w="1940" w:type="dxa"/>
            <w:tcBorders>
              <w:top w:val="single" w:sz="6" w:space="0" w:color="auto"/>
              <w:left w:val="single" w:sz="6" w:space="0" w:color="auto"/>
              <w:bottom w:val="single" w:sz="6" w:space="0" w:color="auto"/>
              <w:right w:val="single" w:sz="6" w:space="0" w:color="auto"/>
            </w:tcBorders>
            <w:vAlign w:val="center"/>
          </w:tcPr>
          <w:p w14:paraId="337140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AB209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bl>
    <w:p w14:paraId="2AB6F62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480D4D0B"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7EF3EC0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1517EE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E7E50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АТ "Нацiональний депозитарiй України"</w:t>
            </w:r>
          </w:p>
        </w:tc>
      </w:tr>
      <w:tr w:rsidR="00000000" w14:paraId="66E4DA4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EB3285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6A1FF4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CC0B61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4966BD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49B340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9BD4FD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816922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64F0EC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Публічне акціонерне товариство</w:t>
            </w:r>
          </w:p>
        </w:tc>
      </w:tr>
      <w:tr w:rsidR="00000000" w14:paraId="6CFE4A6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EAD5A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B7B87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30370711</w:t>
            </w:r>
          </w:p>
        </w:tc>
      </w:tr>
      <w:tr w:rsidR="00000000" w14:paraId="208FEFE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27A19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512F59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01001, Україна, м. Київ, Тропiнiна, 7-Г</w:t>
            </w:r>
          </w:p>
        </w:tc>
      </w:tr>
      <w:tr w:rsidR="00000000" w14:paraId="1A984FA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CF44C2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319A9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 581322</w:t>
            </w:r>
          </w:p>
        </w:tc>
      </w:tr>
      <w:tr w:rsidR="00000000" w14:paraId="4B7E623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03369E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F7235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ДКЦПФР</w:t>
            </w:r>
          </w:p>
        </w:tc>
      </w:tr>
      <w:tr w:rsidR="00000000" w14:paraId="7C11E3F8"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A8B47C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C4C74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068A41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563AA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6B8E62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044 363-04-00</w:t>
            </w:r>
          </w:p>
        </w:tc>
      </w:tr>
      <w:tr w:rsidR="00000000" w14:paraId="2C70056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96B64B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80384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63.11 - Оброблення даних, розмiщення iнформацiї на веб-вузлах i пов'язана з ними дiяльнiсть</w:t>
            </w:r>
          </w:p>
          <w:p w14:paraId="0A10D2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p w14:paraId="42615E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tc>
      </w:tr>
      <w:tr w:rsidR="00000000" w14:paraId="600FCE3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08C857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09E98E9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депозитарна дiяльнiсть</w:t>
            </w:r>
          </w:p>
        </w:tc>
      </w:tr>
    </w:tbl>
    <w:p w14:paraId="5967A10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2C1F55C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79A2D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70D4BB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ДУ "Агенство з розвитку iнфраструктури фондового ринку України"</w:t>
            </w:r>
          </w:p>
        </w:tc>
      </w:tr>
      <w:tr w:rsidR="00000000" w14:paraId="69AB0D4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92B2FB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18D2CA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B54B87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22A65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0F7BCC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B281C1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C353F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41DB0A5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Державне підприємство</w:t>
            </w:r>
          </w:p>
        </w:tc>
      </w:tr>
      <w:tr w:rsidR="00000000" w14:paraId="6E0E69B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CCAADE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67EEB1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21676262</w:t>
            </w:r>
          </w:p>
        </w:tc>
      </w:tr>
      <w:tr w:rsidR="00000000" w14:paraId="5F7A371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9FB45F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77B7C1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03150, Україна, м. Київ, Антоновича, 51, оф. 1206</w:t>
            </w:r>
          </w:p>
        </w:tc>
      </w:tr>
      <w:tr w:rsidR="00000000" w14:paraId="78FD006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E9FFDC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AD7199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DR /00001/АРА</w:t>
            </w:r>
          </w:p>
        </w:tc>
      </w:tr>
      <w:tr w:rsidR="00000000" w14:paraId="7128D62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D0668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19E7EA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НКРРФП</w:t>
            </w:r>
          </w:p>
        </w:tc>
      </w:tr>
      <w:tr w:rsidR="00000000" w14:paraId="4B1A17E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6AB874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3D71A0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E8632D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3144F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7D43D6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044 498-38-15</w:t>
            </w:r>
          </w:p>
        </w:tc>
      </w:tr>
      <w:tr w:rsidR="00000000" w14:paraId="0460C04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D587B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68D90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63.11 - Оброблення даних, розмiщення iнформацiї на веб-вузлах i пов'язана з ними дiяльнiсть</w:t>
            </w:r>
          </w:p>
          <w:p w14:paraId="2FEAE4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p w14:paraId="614A8F1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tc>
      </w:tr>
      <w:tr w:rsidR="00000000" w14:paraId="3E4354F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EBDF4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2846C6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учасник фондового ринку</w:t>
            </w:r>
          </w:p>
        </w:tc>
      </w:tr>
    </w:tbl>
    <w:p w14:paraId="381E8D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36D6A50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71F7E1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E351E4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 "Лукас Аудит"</w:t>
            </w:r>
          </w:p>
        </w:tc>
      </w:tr>
      <w:tr w:rsidR="00000000" w14:paraId="1E61B9E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385588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0DA217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4C3DA2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626993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31D147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3A83156"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893EB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4DB77F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000000" w14:paraId="1C33146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6796EA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6B9708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19209087</w:t>
            </w:r>
          </w:p>
        </w:tc>
      </w:tr>
      <w:tr w:rsidR="00000000" w14:paraId="28A0F8B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EA1AB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4B4B73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01042, Україна, м. Київ, Саперне поле, 14/55</w:t>
            </w:r>
          </w:p>
        </w:tc>
      </w:tr>
      <w:tr w:rsidR="00000000" w14:paraId="4377ACF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272EBB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4DC96D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101002</w:t>
            </w:r>
          </w:p>
        </w:tc>
      </w:tr>
      <w:tr w:rsidR="00000000" w14:paraId="7604AB5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13251D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279CE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ДКЦПФР</w:t>
            </w:r>
          </w:p>
        </w:tc>
      </w:tr>
      <w:tr w:rsidR="00000000" w14:paraId="04D1228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C2F41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BF8DA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75390E3"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62547D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3F40E3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050 473 72 29</w:t>
            </w:r>
          </w:p>
        </w:tc>
      </w:tr>
      <w:tr w:rsidR="00000000" w14:paraId="132CF8C4"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BEA378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360C8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69.20 - Дiяльнiсть у сферi бухгалтерського облiку й аудиту; консультування з питань оподаткування</w:t>
            </w:r>
          </w:p>
          <w:p w14:paraId="32E95E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p w14:paraId="3DE19C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tc>
      </w:tr>
      <w:tr w:rsidR="00000000" w14:paraId="1DF8215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F5040B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04CF40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аудиторська дiяльнiсть</w:t>
            </w:r>
          </w:p>
        </w:tc>
      </w:tr>
    </w:tbl>
    <w:p w14:paraId="53241C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2B6A7F3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2FA0169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2B8F40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II. Інформація щодо капіталу та цінних паперів</w:t>
      </w:r>
    </w:p>
    <w:p w14:paraId="31AFF7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14:paraId="101AF429"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46A654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76014F6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14:paraId="2B502E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3E01EB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14:paraId="6AC1DD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14:paraId="2A6D29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38DABB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14:paraId="3A63575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Облік часток особи в обліковій системі часток</w:t>
            </w:r>
          </w:p>
        </w:tc>
      </w:tr>
      <w:tr w:rsidR="00000000" w14:paraId="7A5F915B"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751581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5525D09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26C0F2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531F10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900" w:type="dxa"/>
            <w:tcBorders>
              <w:top w:val="single" w:sz="6" w:space="0" w:color="auto"/>
              <w:left w:val="single" w:sz="6" w:space="0" w:color="auto"/>
              <w:bottom w:val="single" w:sz="6" w:space="0" w:color="auto"/>
              <w:right w:val="single" w:sz="6" w:space="0" w:color="auto"/>
            </w:tcBorders>
            <w:vAlign w:val="center"/>
          </w:tcPr>
          <w:p w14:paraId="69C752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1EB734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7553E8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2F1CAE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0D2C62B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3F5851F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tcPr>
          <w:p w14:paraId="3A4E09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простi iменi акцiї</w:t>
            </w:r>
          </w:p>
        </w:tc>
        <w:tc>
          <w:tcPr>
            <w:tcW w:w="2000" w:type="dxa"/>
            <w:tcBorders>
              <w:top w:val="single" w:sz="6" w:space="0" w:color="auto"/>
              <w:left w:val="single" w:sz="6" w:space="0" w:color="auto"/>
              <w:bottom w:val="single" w:sz="6" w:space="0" w:color="auto"/>
              <w:right w:val="single" w:sz="6" w:space="0" w:color="auto"/>
            </w:tcBorders>
          </w:tcPr>
          <w:p w14:paraId="5EC34B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283/1/07</w:t>
            </w:r>
          </w:p>
        </w:tc>
        <w:tc>
          <w:tcPr>
            <w:tcW w:w="2000" w:type="dxa"/>
            <w:tcBorders>
              <w:top w:val="single" w:sz="6" w:space="0" w:color="auto"/>
              <w:left w:val="single" w:sz="6" w:space="0" w:color="auto"/>
              <w:bottom w:val="single" w:sz="6" w:space="0" w:color="auto"/>
              <w:right w:val="single" w:sz="6" w:space="0" w:color="auto"/>
            </w:tcBorders>
          </w:tcPr>
          <w:p w14:paraId="053C2D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210 000</w:t>
            </w:r>
          </w:p>
        </w:tc>
        <w:tc>
          <w:tcPr>
            <w:tcW w:w="1900" w:type="dxa"/>
            <w:tcBorders>
              <w:top w:val="single" w:sz="6" w:space="0" w:color="auto"/>
              <w:left w:val="single" w:sz="6" w:space="0" w:color="auto"/>
              <w:bottom w:val="single" w:sz="6" w:space="0" w:color="auto"/>
              <w:right w:val="single" w:sz="6" w:space="0" w:color="auto"/>
            </w:tcBorders>
          </w:tcPr>
          <w:p w14:paraId="70A4C44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100,00</w:t>
            </w:r>
          </w:p>
        </w:tc>
        <w:tc>
          <w:tcPr>
            <w:tcW w:w="2000" w:type="dxa"/>
            <w:tcBorders>
              <w:top w:val="single" w:sz="6" w:space="0" w:color="auto"/>
              <w:left w:val="single" w:sz="6" w:space="0" w:color="auto"/>
              <w:bottom w:val="single" w:sz="6" w:space="0" w:color="auto"/>
              <w:right w:val="single" w:sz="6" w:space="0" w:color="auto"/>
            </w:tcBorders>
          </w:tcPr>
          <w:p w14:paraId="7C0B289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Акцiонерам Товариства, що володiють простими iменними акцiями Товариства, надається однакова сукупнiсть прав, включаючи права на: </w:t>
            </w:r>
          </w:p>
          <w:p w14:paraId="532218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участь в управлiннi Товариством в порядку, визначеному цим Статутом i внутрiшнiми документами Товариства, за винятком випадкiв, передбачених законом;</w:t>
            </w:r>
          </w:p>
          <w:p w14:paraId="5E0859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отримання дивiдендiв;</w:t>
            </w:r>
          </w:p>
          <w:p w14:paraId="015A0F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вiдчуження третiм особам у встановленому законодавством України та цим Статутом порядку належнi їм акцiї </w:t>
            </w:r>
            <w:r>
              <w:rPr>
                <w:rFonts w:ascii="Times New Roman CYR" w:hAnsi="Times New Roman CYR" w:cs="Times New Roman CYR"/>
                <w:kern w:val="0"/>
                <w:sz w:val="22"/>
                <w:szCs w:val="22"/>
              </w:rPr>
              <w:lastRenderedPageBreak/>
              <w:t>Товариства;</w:t>
            </w:r>
          </w:p>
          <w:p w14:paraId="771232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вiдчуження iншим Акцiонерам та/або Товариству у встановленому законодавством України та цим Статутом порядку належнi їм акцiї Товариства;</w:t>
            </w:r>
          </w:p>
          <w:p w14:paraId="10158EF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користування переважним правом у процесi емiсiї простих акцiй (крiм випадку прийняття Загальними зборами рiшення про невикористання такого права), в порядку, встановленому законодавством України;</w:t>
            </w:r>
          </w:p>
          <w:p w14:paraId="261B1C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користування переважним правом на придбання акцiй Товариства, що продаються iншими Акцiонерами;</w:t>
            </w:r>
          </w:p>
          <w:p w14:paraId="791416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одержання iнформацiї про господарську дiяльнiсть Товариства;</w:t>
            </w:r>
          </w:p>
          <w:p w14:paraId="12B8C2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отримання у разi лiквiдацiї Товариства </w:t>
            </w:r>
            <w:r>
              <w:rPr>
                <w:rFonts w:ascii="Times New Roman CYR" w:hAnsi="Times New Roman CYR" w:cs="Times New Roman CYR"/>
                <w:kern w:val="0"/>
                <w:sz w:val="22"/>
                <w:szCs w:val="22"/>
              </w:rPr>
              <w:lastRenderedPageBreak/>
              <w:t>частини його майна або вартостi частини майна Товариства.</w:t>
            </w:r>
          </w:p>
          <w:p w14:paraId="550A75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Акцiонери Товариства можуть мати також iншi права, передбаченi законодавством України i Статутом.</w:t>
            </w:r>
          </w:p>
          <w:p w14:paraId="0D542B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000" w:type="dxa"/>
            <w:tcBorders>
              <w:top w:val="single" w:sz="6" w:space="0" w:color="auto"/>
              <w:left w:val="single" w:sz="6" w:space="0" w:color="auto"/>
              <w:bottom w:val="single" w:sz="6" w:space="0" w:color="auto"/>
              <w:right w:val="single" w:sz="6" w:space="0" w:color="auto"/>
            </w:tcBorders>
          </w:tcPr>
          <w:p w14:paraId="7102A08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не має</w:t>
            </w:r>
          </w:p>
        </w:tc>
        <w:tc>
          <w:tcPr>
            <w:tcW w:w="3000" w:type="dxa"/>
            <w:tcBorders>
              <w:top w:val="single" w:sz="6" w:space="0" w:color="auto"/>
              <w:left w:val="single" w:sz="6" w:space="0" w:color="auto"/>
              <w:bottom w:val="single" w:sz="6" w:space="0" w:color="auto"/>
            </w:tcBorders>
          </w:tcPr>
          <w:p w14:paraId="0CD61D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вiдсутнiй </w:t>
            </w:r>
          </w:p>
        </w:tc>
      </w:tr>
    </w:tbl>
    <w:p w14:paraId="7AD49B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495558C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3. Цінні папери</w:t>
      </w:r>
    </w:p>
    <w:p w14:paraId="6A3C3C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14:paraId="17B760F6"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23EB36F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11A8DB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15ED3C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493E28F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70B778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498A69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5E070F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4FF85E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064CB22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475B61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у статутному капіталі (у відсотках)</w:t>
            </w:r>
          </w:p>
        </w:tc>
      </w:tr>
      <w:tr w:rsidR="00000000" w14:paraId="2BCD419D"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710F76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14:paraId="794076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14:paraId="390CA45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14:paraId="35098E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600" w:type="dxa"/>
            <w:tcBorders>
              <w:top w:val="single" w:sz="6" w:space="0" w:color="auto"/>
              <w:left w:val="single" w:sz="6" w:space="0" w:color="auto"/>
              <w:bottom w:val="single" w:sz="6" w:space="0" w:color="auto"/>
              <w:right w:val="single" w:sz="6" w:space="0" w:color="auto"/>
            </w:tcBorders>
            <w:vAlign w:val="center"/>
          </w:tcPr>
          <w:p w14:paraId="4ABEB9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14:paraId="11DE61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14:paraId="1B3E00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14:paraId="34A5DA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14:paraId="59C152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700" w:type="dxa"/>
            <w:tcBorders>
              <w:top w:val="single" w:sz="6" w:space="0" w:color="auto"/>
              <w:left w:val="single" w:sz="6" w:space="0" w:color="auto"/>
              <w:bottom w:val="single" w:sz="6" w:space="0" w:color="auto"/>
            </w:tcBorders>
            <w:vAlign w:val="center"/>
          </w:tcPr>
          <w:p w14:paraId="687A02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000000" w14:paraId="4045F8FA"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14:paraId="7C5AEF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27.06.2007</w:t>
            </w:r>
          </w:p>
        </w:tc>
        <w:tc>
          <w:tcPr>
            <w:tcW w:w="1350" w:type="dxa"/>
            <w:tcBorders>
              <w:top w:val="single" w:sz="6" w:space="0" w:color="auto"/>
              <w:left w:val="single" w:sz="6" w:space="0" w:color="auto"/>
              <w:bottom w:val="single" w:sz="6" w:space="0" w:color="auto"/>
              <w:right w:val="single" w:sz="6" w:space="0" w:color="auto"/>
            </w:tcBorders>
          </w:tcPr>
          <w:p w14:paraId="47A824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283/1/07</w:t>
            </w:r>
          </w:p>
        </w:tc>
        <w:tc>
          <w:tcPr>
            <w:tcW w:w="2400" w:type="dxa"/>
            <w:tcBorders>
              <w:top w:val="single" w:sz="6" w:space="0" w:color="auto"/>
              <w:left w:val="single" w:sz="6" w:space="0" w:color="auto"/>
              <w:bottom w:val="single" w:sz="6" w:space="0" w:color="auto"/>
              <w:right w:val="single" w:sz="6" w:space="0" w:color="auto"/>
            </w:tcBorders>
          </w:tcPr>
          <w:p w14:paraId="1891AA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комiсiяцiнних паперiв та</w:t>
            </w:r>
          </w:p>
        </w:tc>
        <w:tc>
          <w:tcPr>
            <w:tcW w:w="1700" w:type="dxa"/>
            <w:tcBorders>
              <w:top w:val="single" w:sz="6" w:space="0" w:color="auto"/>
              <w:left w:val="single" w:sz="6" w:space="0" w:color="auto"/>
              <w:bottom w:val="single" w:sz="6" w:space="0" w:color="auto"/>
              <w:right w:val="single" w:sz="6" w:space="0" w:color="auto"/>
            </w:tcBorders>
          </w:tcPr>
          <w:p w14:paraId="2747AA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UA4000015440</w:t>
            </w:r>
          </w:p>
        </w:tc>
        <w:tc>
          <w:tcPr>
            <w:tcW w:w="1600" w:type="dxa"/>
            <w:tcBorders>
              <w:top w:val="single" w:sz="6" w:space="0" w:color="auto"/>
              <w:left w:val="single" w:sz="6" w:space="0" w:color="auto"/>
              <w:bottom w:val="single" w:sz="6" w:space="0" w:color="auto"/>
              <w:right w:val="single" w:sz="6" w:space="0" w:color="auto"/>
            </w:tcBorders>
          </w:tcPr>
          <w:p w14:paraId="0362DA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0263D5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4AF535C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200" w:type="dxa"/>
            <w:tcBorders>
              <w:top w:val="single" w:sz="6" w:space="0" w:color="auto"/>
              <w:left w:val="single" w:sz="6" w:space="0" w:color="auto"/>
              <w:bottom w:val="single" w:sz="6" w:space="0" w:color="auto"/>
              <w:right w:val="single" w:sz="6" w:space="0" w:color="auto"/>
            </w:tcBorders>
          </w:tcPr>
          <w:p w14:paraId="3C1CC96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210 000</w:t>
            </w:r>
          </w:p>
        </w:tc>
        <w:tc>
          <w:tcPr>
            <w:tcW w:w="1400" w:type="dxa"/>
            <w:tcBorders>
              <w:top w:val="single" w:sz="6" w:space="0" w:color="auto"/>
              <w:left w:val="single" w:sz="6" w:space="0" w:color="auto"/>
              <w:bottom w:val="single" w:sz="6" w:space="0" w:color="auto"/>
              <w:right w:val="single" w:sz="6" w:space="0" w:color="auto"/>
            </w:tcBorders>
          </w:tcPr>
          <w:p w14:paraId="3766F7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21 000 000</w:t>
            </w:r>
          </w:p>
        </w:tc>
        <w:tc>
          <w:tcPr>
            <w:tcW w:w="1700" w:type="dxa"/>
            <w:tcBorders>
              <w:top w:val="single" w:sz="6" w:space="0" w:color="auto"/>
              <w:left w:val="single" w:sz="6" w:space="0" w:color="auto"/>
              <w:bottom w:val="single" w:sz="6" w:space="0" w:color="auto"/>
            </w:tcBorders>
          </w:tcPr>
          <w:p w14:paraId="043A01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000000" w14:paraId="762A5A4A" w14:textId="77777777">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14:paraId="576D78B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1DBC11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Розмiщення акцiй додаткової емiсiї (збiльшення Статутного капiталу) не здiйснювалося. Лiстинг (допуск акцiй до обiгу на фондовiй бiржi) не</w:t>
            </w:r>
          </w:p>
          <w:p w14:paraId="52F4032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здiйснювався.</w:t>
            </w:r>
          </w:p>
        </w:tc>
      </w:tr>
    </w:tbl>
    <w:p w14:paraId="51D6C8A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37DBE38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09B411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lastRenderedPageBreak/>
        <w:t>III. Фінансова інформація</w:t>
      </w:r>
    </w:p>
    <w:p w14:paraId="5C16E1B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2. Річна фінансова звітність</w:t>
      </w:r>
    </w:p>
    <w:p w14:paraId="74DD97A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https://life.ingo.ua/about#documentation</w:t>
      </w:r>
    </w:p>
    <w:p w14:paraId="740F8C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URL-адреса вебсторінки Центру збору фінансової звітності, за якою розміщено електронний файл фінансової звітності: -</w:t>
      </w:r>
    </w:p>
    <w:p w14:paraId="13864D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225608C6"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3. Аудиторський звіт до річної фінансової звітності</w:t>
      </w:r>
    </w:p>
    <w:p w14:paraId="599B5F2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w:t>
      </w:r>
      <w:r>
        <w:rPr>
          <w:rFonts w:ascii="Times New Roman CYR" w:hAnsi="Times New Roman CYR" w:cs="Times New Roman CYR"/>
          <w:b/>
          <w:bCs/>
          <w:kern w:val="0"/>
        </w:rPr>
        <w:t>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000"/>
      </w:tblGrid>
      <w:tr w:rsidR="00000000" w14:paraId="57FF2293"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389E69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5300" w:type="dxa"/>
            <w:tcBorders>
              <w:top w:val="single" w:sz="6" w:space="0" w:color="auto"/>
              <w:left w:val="single" w:sz="6" w:space="0" w:color="auto"/>
              <w:bottom w:val="single" w:sz="6" w:space="0" w:color="auto"/>
              <w:right w:val="single" w:sz="6" w:space="0" w:color="auto"/>
            </w:tcBorders>
          </w:tcPr>
          <w:p w14:paraId="304084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4000" w:type="dxa"/>
            <w:tcBorders>
              <w:top w:val="single" w:sz="6" w:space="0" w:color="auto"/>
              <w:left w:val="single" w:sz="6" w:space="0" w:color="auto"/>
              <w:bottom w:val="single" w:sz="6" w:space="0" w:color="auto"/>
            </w:tcBorders>
          </w:tcPr>
          <w:p w14:paraId="363630E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ТОВАРИСТВО З ОБМЕЖЕНОЮ ВIДПОВIДАЛЬНIСТЮ "ЛУКАС АУДИТ"</w:t>
            </w:r>
          </w:p>
        </w:tc>
      </w:tr>
      <w:tr w:rsidR="00000000" w14:paraId="6328BA8F"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1DE49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5300" w:type="dxa"/>
            <w:tcBorders>
              <w:top w:val="single" w:sz="6" w:space="0" w:color="auto"/>
              <w:left w:val="single" w:sz="6" w:space="0" w:color="auto"/>
              <w:bottom w:val="single" w:sz="6" w:space="0" w:color="auto"/>
              <w:right w:val="single" w:sz="6" w:space="0" w:color="auto"/>
            </w:tcBorders>
          </w:tcPr>
          <w:p w14:paraId="77BB725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6D1F41B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19029087</w:t>
            </w:r>
          </w:p>
        </w:tc>
      </w:tr>
      <w:tr w:rsidR="00000000" w14:paraId="38EE8A1D"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2C89D8E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5300" w:type="dxa"/>
            <w:tcBorders>
              <w:top w:val="single" w:sz="6" w:space="0" w:color="auto"/>
              <w:left w:val="single" w:sz="6" w:space="0" w:color="auto"/>
              <w:bottom w:val="single" w:sz="6" w:space="0" w:color="auto"/>
              <w:right w:val="single" w:sz="6" w:space="0" w:color="auto"/>
            </w:tcBorders>
          </w:tcPr>
          <w:p w14:paraId="3F526D9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14:paraId="5843B7C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 "Лукас Аудит"</w:t>
            </w:r>
          </w:p>
        </w:tc>
      </w:tr>
      <w:tr w:rsidR="00000000" w14:paraId="45B845E6"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32354A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5300" w:type="dxa"/>
            <w:tcBorders>
              <w:top w:val="single" w:sz="6" w:space="0" w:color="auto"/>
              <w:left w:val="single" w:sz="6" w:space="0" w:color="auto"/>
              <w:bottom w:val="single" w:sz="6" w:space="0" w:color="auto"/>
              <w:right w:val="single" w:sz="6" w:space="0" w:color="auto"/>
            </w:tcBorders>
          </w:tcPr>
          <w:p w14:paraId="416BCA2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14:paraId="5F366B1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19029087</w:t>
            </w:r>
          </w:p>
        </w:tc>
      </w:tr>
      <w:tr w:rsidR="00000000" w14:paraId="1D05DBBE"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495E66E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5300" w:type="dxa"/>
            <w:tcBorders>
              <w:top w:val="single" w:sz="6" w:space="0" w:color="auto"/>
              <w:left w:val="single" w:sz="6" w:space="0" w:color="auto"/>
              <w:bottom w:val="single" w:sz="6" w:space="0" w:color="auto"/>
              <w:right w:val="single" w:sz="6" w:space="0" w:color="auto"/>
            </w:tcBorders>
          </w:tcPr>
          <w:p w14:paraId="459E069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14:paraId="5A70309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7637F213"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04CBC04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5300" w:type="dxa"/>
            <w:tcBorders>
              <w:top w:val="single" w:sz="6" w:space="0" w:color="auto"/>
              <w:left w:val="single" w:sz="6" w:space="0" w:color="auto"/>
              <w:bottom w:val="single" w:sz="6" w:space="0" w:color="auto"/>
              <w:right w:val="single" w:sz="6" w:space="0" w:color="auto"/>
            </w:tcBorders>
          </w:tcPr>
          <w:p w14:paraId="179CE6E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14:paraId="7952BD6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1000 03.04.2021</w:t>
            </w:r>
          </w:p>
        </w:tc>
      </w:tr>
      <w:tr w:rsidR="00000000" w14:paraId="0FB4B407"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5B4EB9D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5300" w:type="dxa"/>
            <w:tcBorders>
              <w:top w:val="single" w:sz="6" w:space="0" w:color="auto"/>
              <w:left w:val="single" w:sz="6" w:space="0" w:color="auto"/>
              <w:bottom w:val="single" w:sz="6" w:space="0" w:color="auto"/>
              <w:right w:val="single" w:sz="6" w:space="0" w:color="auto"/>
            </w:tcBorders>
          </w:tcPr>
          <w:p w14:paraId="763B44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14:paraId="5AC3418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101002</w:t>
            </w:r>
          </w:p>
        </w:tc>
      </w:tr>
      <w:tr w:rsidR="00000000" w14:paraId="32DA300D"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226B32E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5300" w:type="dxa"/>
            <w:tcBorders>
              <w:top w:val="single" w:sz="6" w:space="0" w:color="auto"/>
              <w:left w:val="single" w:sz="6" w:space="0" w:color="auto"/>
              <w:bottom w:val="single" w:sz="6" w:space="0" w:color="auto"/>
              <w:right w:val="single" w:sz="6" w:space="0" w:color="auto"/>
            </w:tcBorders>
          </w:tcPr>
          <w:p w14:paraId="058DAB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Розділ Реєстру аудит</w:t>
            </w:r>
            <w:r>
              <w:rPr>
                <w:rFonts w:ascii="Times New Roman CYR" w:hAnsi="Times New Roman CYR" w:cs="Times New Roman CYR"/>
                <w:kern w:val="0"/>
              </w:rPr>
              <w:t>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14:paraId="2702D60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 суб'єкти аудиторської діяльності, які мають право проводити обов'язковий аудит фінансової звітності</w:t>
            </w:r>
          </w:p>
        </w:tc>
      </w:tr>
      <w:tr w:rsidR="00000000" w14:paraId="6589F875"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77224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5300" w:type="dxa"/>
            <w:tcBorders>
              <w:top w:val="single" w:sz="6" w:space="0" w:color="auto"/>
              <w:left w:val="single" w:sz="6" w:space="0" w:color="auto"/>
              <w:bottom w:val="single" w:sz="6" w:space="0" w:color="auto"/>
              <w:right w:val="single" w:sz="6" w:space="0" w:color="auto"/>
            </w:tcBorders>
          </w:tcPr>
          <w:p w14:paraId="70E3FC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14:paraId="7547FB8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01.01.2024 по 31.12.2024</w:t>
            </w:r>
          </w:p>
        </w:tc>
      </w:tr>
      <w:tr w:rsidR="00000000" w14:paraId="466C77B0"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90D8F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5300" w:type="dxa"/>
            <w:tcBorders>
              <w:top w:val="single" w:sz="6" w:space="0" w:color="auto"/>
              <w:left w:val="single" w:sz="6" w:space="0" w:color="auto"/>
              <w:bottom w:val="single" w:sz="6" w:space="0" w:color="auto"/>
              <w:right w:val="single" w:sz="6" w:space="0" w:color="auto"/>
            </w:tcBorders>
          </w:tcPr>
          <w:p w14:paraId="183A6FB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14:paraId="14DB91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01 - немодифікована</w:t>
            </w:r>
          </w:p>
        </w:tc>
      </w:tr>
      <w:tr w:rsidR="00000000" w14:paraId="37D22753"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4A3879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5300" w:type="dxa"/>
            <w:tcBorders>
              <w:top w:val="single" w:sz="6" w:space="0" w:color="auto"/>
              <w:left w:val="single" w:sz="6" w:space="0" w:color="auto"/>
              <w:bottom w:val="single" w:sz="6" w:space="0" w:color="auto"/>
              <w:right w:val="single" w:sz="6" w:space="0" w:color="auto"/>
            </w:tcBorders>
          </w:tcPr>
          <w:p w14:paraId="738B80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14:paraId="49CC25C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376/ОА/IFRS/04 від 03.03.2026</w:t>
            </w:r>
          </w:p>
        </w:tc>
      </w:tr>
      <w:tr w:rsidR="00000000" w14:paraId="27492FA4"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143B61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5300" w:type="dxa"/>
            <w:tcBorders>
              <w:top w:val="single" w:sz="6" w:space="0" w:color="auto"/>
              <w:left w:val="single" w:sz="6" w:space="0" w:color="auto"/>
              <w:bottom w:val="single" w:sz="6" w:space="0" w:color="auto"/>
              <w:right w:val="single" w:sz="6" w:space="0" w:color="auto"/>
            </w:tcBorders>
          </w:tcPr>
          <w:p w14:paraId="4515C7B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початку та дата закінчення аудиту</w:t>
            </w:r>
          </w:p>
        </w:tc>
        <w:tc>
          <w:tcPr>
            <w:tcW w:w="4000" w:type="dxa"/>
            <w:tcBorders>
              <w:top w:val="single" w:sz="6" w:space="0" w:color="auto"/>
              <w:left w:val="single" w:sz="6" w:space="0" w:color="auto"/>
              <w:bottom w:val="single" w:sz="6" w:space="0" w:color="auto"/>
            </w:tcBorders>
          </w:tcPr>
          <w:p w14:paraId="6F9AF8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04.03.2026 по 29.05.2026</w:t>
            </w:r>
          </w:p>
        </w:tc>
      </w:tr>
      <w:tr w:rsidR="00000000" w14:paraId="053C2B98"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3DB570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5300" w:type="dxa"/>
            <w:tcBorders>
              <w:top w:val="single" w:sz="6" w:space="0" w:color="auto"/>
              <w:left w:val="single" w:sz="6" w:space="0" w:color="auto"/>
              <w:bottom w:val="single" w:sz="6" w:space="0" w:color="auto"/>
              <w:right w:val="single" w:sz="6" w:space="0" w:color="auto"/>
            </w:tcBorders>
          </w:tcPr>
          <w:p w14:paraId="74B6757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аудиторського звіту</w:t>
            </w:r>
          </w:p>
        </w:tc>
        <w:tc>
          <w:tcPr>
            <w:tcW w:w="4000" w:type="dxa"/>
            <w:tcBorders>
              <w:top w:val="single" w:sz="6" w:space="0" w:color="auto"/>
              <w:left w:val="single" w:sz="6" w:space="0" w:color="auto"/>
              <w:bottom w:val="single" w:sz="6" w:space="0" w:color="auto"/>
            </w:tcBorders>
          </w:tcPr>
          <w:p w14:paraId="16C456A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29.05.2026</w:t>
            </w:r>
          </w:p>
        </w:tc>
      </w:tr>
      <w:tr w:rsidR="00000000" w14:paraId="66EFC690" w14:textId="77777777">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14:paraId="706116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5300" w:type="dxa"/>
            <w:tcBorders>
              <w:top w:val="single" w:sz="6" w:space="0" w:color="auto"/>
              <w:left w:val="single" w:sz="6" w:space="0" w:color="auto"/>
              <w:bottom w:val="single" w:sz="6" w:space="0" w:color="auto"/>
              <w:right w:val="single" w:sz="6" w:space="0" w:color="auto"/>
            </w:tcBorders>
          </w:tcPr>
          <w:p w14:paraId="579C79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w:t>
            </w:r>
            <w:r>
              <w:rPr>
                <w:rFonts w:ascii="Times New Roman CYR" w:hAnsi="Times New Roman CYR" w:cs="Times New Roman CYR"/>
                <w:kern w:val="0"/>
              </w:rPr>
              <w:lastRenderedPageBreak/>
              <w:t>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14:paraId="28EAB2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4EDBF26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bl>
    <w:p w14:paraId="17A17E6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297ABA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Аудиторський звіт до річної фінансової звітності:</w:t>
      </w:r>
    </w:p>
    <w:p w14:paraId="645ABA8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АТ "ЦЕНТР ФIН СЕРВIС" ФIНАНСОВА ЗВIТНIСТЬ за рiк, що закiнчився 31 грудня 2024 року Разом iз ЗВIТОМ НЕЗАЛЕЖНОГО АУДИТОРА </w:t>
      </w:r>
    </w:p>
    <w:p w14:paraId="07B2AD0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Нацiональнiй комiсiї з цiнних паперiв та фондового ринку </w:t>
      </w:r>
    </w:p>
    <w:p w14:paraId="6CA4B3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Акцiонеру та Керiвництву </w:t>
      </w:r>
    </w:p>
    <w:p w14:paraId="057A59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"ЦЕНТР ФIН СЕРВIС"</w:t>
      </w:r>
    </w:p>
    <w:p w14:paraId="41C2BE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71B57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ДУМКА Ми провели аудит фiнансової звiтностi Акцiонерного товариства "ЦЕНТР ФIН СЕРВIС" (далi Товариство), що є правонаступником АТ "СК "IНГО ЖИТТЯ", яка складається зi звiту про фiнансовий стан на 31 грудня 2024 року, звiту про прибутки та збитки та iнший сукупний дохiд, звiту про рух грошових коштiв (за прямим методом) та звiту про змiни в капiталi за рiк, що закiнчився зазначеною датою, та примiток до фiнансової звiтностi, включаючи стислий виклад значущих облiкових полiтик (далi разом фiнансова звiтнiсть</w:t>
      </w:r>
      <w:r>
        <w:rPr>
          <w:rFonts w:ascii="Times New Roman CYR" w:hAnsi="Times New Roman CYR" w:cs="Times New Roman CYR"/>
          <w:kern w:val="0"/>
        </w:rPr>
        <w:t>). На нашу думку, фiнансова звiтнiсть, що додається, складена в усiх суттєвих аспектах вiдповiдно до Мiжнародних стандартiв фiнансової звiтностi (далi МСФЗ) та вiдповiдає вимогам Закону України "Про бухгалтерський облiк та фiнансову звiтнiсть в Українi".</w:t>
      </w:r>
    </w:p>
    <w:p w14:paraId="1EF244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ОСНОВА ДЛЯ ДУМКИ </w:t>
      </w:r>
    </w:p>
    <w:p w14:paraId="4F38D1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провели аудит вiдповiдно до Мiжнародних стандартiв аудиту (МСА). Нашу вiдповiдальнiсть згiдно з цими стандартами викладено в роздiлi "Вiдповiдальнiсть аудитора за аудит фiнансової звiтностi" цього звiту. Ми є незалежними по вiдношенню до Товариства згiдно з Мiжнародним кодексом етики професiйних бухгалтерiв (включаючи Мiжнароднi стандарти незалежностi) Ради з Мiжнародних стандартiв етики для бухгалтерiв (далi РМСЕБ) та етичними вимогами, застосовними в Українi до аудиту фiнансової звiтностi, а також вик</w:t>
      </w:r>
      <w:r>
        <w:rPr>
          <w:rFonts w:ascii="Times New Roman CYR" w:hAnsi="Times New Roman CYR" w:cs="Times New Roman CYR"/>
          <w:kern w:val="0"/>
        </w:rPr>
        <w:t>онали iншi обов'язки з етики вiдповiдно до цих вимог Кодексу РМСЕБ. Ми вважаємо, що отриманi нами аудиторськi докази є достатнiми та прийнятними для використання їх як основи для нашої думки.</w:t>
      </w:r>
    </w:p>
    <w:p w14:paraId="51BDD7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СУТТЄВА НЕВИЗНАЧЕНIСТЬ, ЩО СТОСУЄТЬСЯ БЕЗПЕРЕРВНОСТI ДIЯЛЬНОСТI </w:t>
      </w:r>
    </w:p>
    <w:p w14:paraId="7AEE46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звертаємо увагу на той факт, що дiяльнiсть Товариства, вiдбувається в умовах фiнансової нестабiльностi пiд час вiйськового вторгнення Росiйської Федерацiї в Україну. Хоча подальшi перспективи геть невизначенi, економiчнi наслiдки вже зараз дуже серйознi. Цi подiї або умови разом iз iншими питаннями, вказують, що iснує суттєва невизначенiсть, що може поставити пiд значний сумнiв здатнiсть Товариства продовжувати свою дiяльнiсть на безперервнiй основi. Нашу думку щодо цього питання не було модифiковано. Пi</w:t>
      </w:r>
      <w:r>
        <w:rPr>
          <w:rFonts w:ascii="Times New Roman CYR" w:hAnsi="Times New Roman CYR" w:cs="Times New Roman CYR"/>
          <w:kern w:val="0"/>
        </w:rPr>
        <w:t>д час аудиту фiнансової звiтностi ми дiйшли висновку, що використання управлiнським персоналом принципу безперервностi дiяльностi пiд час пiдготовки фiнансової звiтностi є доцiльним. Наша оцiнка припущення управлiнського персоналу щодо спроможностi Товариства продовжувати застосовувати принцип безперервностi дiяльностi в бухгалтерському облiку включала:</w:t>
      </w:r>
    </w:p>
    <w:p w14:paraId="222240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Оцiнку негативних наслiдкiв продовження вiйськової агресiї; </w:t>
      </w:r>
    </w:p>
    <w:p w14:paraId="170473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Аналiз сценарiїв розвитку ситуацiї, якi визначив управлiнський персонал Товариства, та можливих дiй у вiдповiдь керiвництва України, свiтової спiльноти та управлiнського персоналу Товариства; </w:t>
      </w:r>
    </w:p>
    <w:p w14:paraId="20BDE9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Аналiз достатностi власного капiталу Товариства та пiдтримання його на достатньому рiвнi. </w:t>
      </w:r>
    </w:p>
    <w:p w14:paraId="30BB52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виявили, що прогнози щодо розвитку ситуацiї та вiдповiдних негативних наслiдкiв дуже складно будувати через непередбачуванiсть дiй керiвництва Росiйської Федерацiї. В той же час припущення управлiнського персоналу щодо найбiльш ймовiрних сценарiїв є доречними.</w:t>
      </w:r>
    </w:p>
    <w:p w14:paraId="1D4C02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ПОЯСНЮВАЛЬНI ПАРАГРАФИ </w:t>
      </w:r>
    </w:p>
    <w:p w14:paraId="081461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звертаємо увагу на той факт, що у червнi 2024 року Товариство здiйснило добровiльний вихiд з ринку страховика шляхом виконання страхового портфеля. Як зазначено у примiтцi 1.1 "Органiзацiйна структура та основнi види дiяльностi" до фiнансової звiтностi, до червня 2024 року основним видом дiяльностi Товариства було надання послуг зi страхування життя на пiдставi вiдповiдної лiцензiї, яка була анульована Нацiональним банком України 02 серпня 2024 року. В результатi цього Товариством було розформовано дода</w:t>
      </w:r>
      <w:r>
        <w:rPr>
          <w:rFonts w:ascii="Times New Roman CYR" w:hAnsi="Times New Roman CYR" w:cs="Times New Roman CYR"/>
          <w:kern w:val="0"/>
        </w:rPr>
        <w:t xml:space="preserve">тковий та резервний капiтал у сумi 12 000 тис. грн та 56 тис. грн, вiдповiдно. </w:t>
      </w:r>
      <w:r>
        <w:rPr>
          <w:rFonts w:ascii="Times New Roman CYR" w:hAnsi="Times New Roman CYR" w:cs="Times New Roman CYR"/>
          <w:kern w:val="0"/>
        </w:rPr>
        <w:lastRenderedPageBreak/>
        <w:t>Нашу думку щодо цього питання не було модифiковано. Ми звертаємо увагу на примiтку 2.2 "Основнi засоби" до фiнансової звiтностi, в якiй зазначено, що станом на 31 грудня 2024 року вартiсть об'єкту нерухомостi у складi основних засобiв Товариства визначалась на пiдставi результатiв незалежної оцiнки, що були наведенi у звiт незалежного оцiнювача, в якому справедлива вартiсть цього об'єкту нерухомостi була визначена з урахуванням п</w:t>
      </w:r>
      <w:r>
        <w:rPr>
          <w:rFonts w:ascii="Times New Roman CYR" w:hAnsi="Times New Roman CYR" w:cs="Times New Roman CYR"/>
          <w:kern w:val="0"/>
        </w:rPr>
        <w:t xml:space="preserve">одатку на додану вартiсть. Нашу думку щодо цього питання не було модифiковано. Ми звертаємо увагу на примiтку 2.18 "Операцiї з пов'язаними сторонами" до фiнансової звiтностi, в якiй зазначенi суми та сутнiсть операцiй Товариства з пов'язаними сторонами. Пов'язанi сторони можуть вступати в операцiї, якi не здiйснюються непов'язаними сторонами. Крiм того, операцiї мiж пов'язаними сторонами можуть не приводити до таких сум, якi виникають у результатi операцiй мiж непов'язаними сторонами. Нашу думку щодо цього </w:t>
      </w:r>
      <w:r>
        <w:rPr>
          <w:rFonts w:ascii="Times New Roman CYR" w:hAnsi="Times New Roman CYR" w:cs="Times New Roman CYR"/>
          <w:kern w:val="0"/>
        </w:rPr>
        <w:t>питання не було модифiковано.</w:t>
      </w:r>
    </w:p>
    <w:p w14:paraId="10F685C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КЛЮЧОВI ПИТАННЯ АУДИТУ </w:t>
      </w:r>
    </w:p>
    <w:p w14:paraId="5C75D4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Ключовi питання аудиту - це питання, якi, за нашим професiйним судженням, були найбiльш значущими пiд час аудиту фiнансової звiтностi. Цi питання розглядались у контекстi аудиту фiнансової звiтностi в цiлому та враховувались при формуваннi нашої думки щодо фiнансової звiтностi, при цьому ми не висловлюємо окремої думки щодо цих питань. Додатково до питань, описаних у роздiлах "Суттєва невизначенiсть, що стосується безперервностi дiяльностi" та "Пояснювальнi параграфи" цього звiту, ми не виявили iнших ключо</w:t>
      </w:r>
      <w:r>
        <w:rPr>
          <w:rFonts w:ascii="Times New Roman CYR" w:hAnsi="Times New Roman CYR" w:cs="Times New Roman CYR"/>
          <w:kern w:val="0"/>
        </w:rPr>
        <w:t>вих питань, якi було б слiд вiдобразити у нашому звiтi незалежного аудитора.</w:t>
      </w:r>
    </w:p>
    <w:p w14:paraId="2F62D3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IНША IНФОРМАЦIЯ </w:t>
      </w:r>
    </w:p>
    <w:p w14:paraId="7D4B67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Управлiнський персонал Товариства вiдповiдно до вимог законодавства України несе вiдповiдальнiсть за подання разом iз фiнансовою звiтнiстю iншої iнформацiї, що не є фiнансовою звiтнiстю. До складу такої iншої iнформацiї входить, зокрема, Звiт про управлiння, який ми отримали до дати нашого звiту незалежного аудитора, та Рiчну iнформацiю емiтента цiнних паперiв, що включає рiчний звiт керiвництва.</w:t>
      </w:r>
    </w:p>
    <w:p w14:paraId="50D01A4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Наша думка щодо фiнансової звiтностi не поширюється на таку iншу iнформацiю та ми не робимо висновку з будь-яким рiвнем впевненостi щодо цiєї iншої iнформацiї. У зв'язку з аудитом фiнансової звiтностi нашою вiдповiдальнiстю є ознайомитися з такою iншою iнформацiєю та при цьому розглянути, чи iснує iстотна невiдповiднiсть мiж iншою iнформацiєю та фiнансовою звiтнiстю або нашими знаннями, отриманими пiдчас аудиту, або чи iнша iнформацiя має вигляд такої, що мiстить суттєвi викривлення. Якщо на основi проведе</w:t>
      </w:r>
      <w:r>
        <w:rPr>
          <w:rFonts w:ascii="Times New Roman CYR" w:hAnsi="Times New Roman CYR" w:cs="Times New Roman CYR"/>
          <w:kern w:val="0"/>
        </w:rPr>
        <w:t>ної нами роботи стосовно iншої iнформацiї, отриманої до дати звiту аудитора, ми доходимо висновку, що iснує суттєве викривлення iншої iнформацiї, ми зобов'язанi повiдомити про такий факт. Ми не виявили фактiв, якi б мали включити до нашого звiту, окрiм можливого впливу питань, описаних у роздiлах "Суттєва невизначенiсть, що стосується безперервностi дiяльностi" та "Пояснювальнi параграфи" цього звiту, на фiнансову звiтнiсть та, вiдповiдно, iншу iнформацiю.</w:t>
      </w:r>
    </w:p>
    <w:p w14:paraId="5A8E283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ВIДПОВIДАЛЬНIСТЬ УПРАВЛIНСЬКОГО ПЕРСОНАЛУ ТА ТИХ, К</w:t>
      </w:r>
      <w:r>
        <w:rPr>
          <w:rFonts w:ascii="Times New Roman CYR" w:hAnsi="Times New Roman CYR" w:cs="Times New Roman CYR"/>
          <w:kern w:val="0"/>
        </w:rPr>
        <w:t xml:space="preserve">ОГО НАДIЛЕНО НАЙВИЩИМИ ПОВНОВАЖЕННЯМИ, ЗА ФIНАНСОВУ ЗВIТНIСТЬ </w:t>
      </w:r>
    </w:p>
    <w:p w14:paraId="1AAA4F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Управлiнський персонал несе вiдповiдальнiсть за складання фiнансової звiтностi вiдповiдно до вимог Закону України "Про бухгалтерський облiк та фiнансову звiтнiсть", МСФЗ та за таку систему внутрiшнього контролю, яку управлiнський персонал визначає потрiбною для того, щоб забезпечити складання фiнансової звiтностi, що не мiстить суттєвих викривлень внаслiдок шахрайства або помилки. При складаннi фiнансової звiтностi управлiнський персонал несе вi</w:t>
      </w:r>
      <w:r>
        <w:rPr>
          <w:rFonts w:ascii="Times New Roman CYR" w:hAnsi="Times New Roman CYR" w:cs="Times New Roman CYR"/>
          <w:kern w:val="0"/>
        </w:rPr>
        <w:t>дповiдальнiсть за оцiнку здатностi Товариства продовжувати свою дiяльнiсть на безперервнiй основi, розкриваючи, де це застосовно, питання, що стосуються безперервностi дiяльностi, та використовуючи припущення про безперервнiсть дiяльностi як основи для бухгалтерського облiку, крiм випадкiв, коли управлiнський персонал або планує лiквiдувати Товариство чи припинити його дiяльнiсть, або не має iнших реальних альтернатив цьому. Тi, кого надiлено найвищими повноваженнями, несуть вiдповiдальнiсть за нагляд за пр</w:t>
      </w:r>
      <w:r>
        <w:rPr>
          <w:rFonts w:ascii="Times New Roman CYR" w:hAnsi="Times New Roman CYR" w:cs="Times New Roman CYR"/>
          <w:kern w:val="0"/>
        </w:rPr>
        <w:t>оцесом фiнансового звiтування Товариства.</w:t>
      </w:r>
    </w:p>
    <w:p w14:paraId="12CAFC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ВIДПОВIДАЛЬНIСТЬ АУДИТОРА ЗА АУДИТ ФIНАНСОВОЇ ЗВIТНОСТI </w:t>
      </w:r>
    </w:p>
    <w:p w14:paraId="105587B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Нашими цiлями є отримання обгрунтованої впевненостi у тому, що фiнансова звiтнiсть в цiлому не мiстить суттєвого викривлення внаслiдок шахрайства або помилки, та випуск звiту аудитора, що мiстить нашу думку. Обгрунтована впевненiсть є високим рiвнем впевненостi, проте не гарантує, що аудит, </w:t>
      </w:r>
      <w:r>
        <w:rPr>
          <w:rFonts w:ascii="Times New Roman CYR" w:hAnsi="Times New Roman CYR" w:cs="Times New Roman CYR"/>
          <w:kern w:val="0"/>
        </w:rPr>
        <w:lastRenderedPageBreak/>
        <w:t>проведений вiдповiдно до МСА, завжди виявить суттєве викривлення, коли воно iснує. Викривлення можуть бути результатом шахрайства або помилки; вони вважаються суттєвими, якщо окремо або в сукупностi, як обгрунтовано очiкується, вони можуть впливати на економiчнi рiшення користувачiв, що приймаються на основi цiєї фiнансової звiтностi. Виконуючи аудит вiдповiдно до вимог МСА, ми використовуємо професiйнi судження та професiйний скептицизм протягом усього завдання з аудиту. Крiм того, ми:</w:t>
      </w:r>
    </w:p>
    <w:p w14:paraId="3C43F76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Iдентифiкуємо та о</w:t>
      </w:r>
      <w:r>
        <w:rPr>
          <w:rFonts w:ascii="Times New Roman CYR" w:hAnsi="Times New Roman CYR" w:cs="Times New Roman CYR"/>
          <w:kern w:val="0"/>
        </w:rPr>
        <w:t>цiнюємо ризики суттєвого викривлення фiнансової звiтностi внаслiдок шахрайства або помилки, розробляємо й виконуємо аудиторськi процедури у вiдповiдь на цi ризики, а також отримуємо аудиторськi докази, що є достатнiми та прийнятними для використання їх як основи для нашої думки. Ризик невиявлення суттєвого викривлення внаслiдок шахрайства є вищим, нiж викривлення внаслiдок помилки, оскiльки шахрайство може включати змову, пiдробку, навмиснi пропуски, неправильнi твердження або нехтування заходами внутрiшньо</w:t>
      </w:r>
      <w:r>
        <w:rPr>
          <w:rFonts w:ascii="Times New Roman CYR" w:hAnsi="Times New Roman CYR" w:cs="Times New Roman CYR"/>
          <w:kern w:val="0"/>
        </w:rPr>
        <w:t xml:space="preserve">го контролю; </w:t>
      </w:r>
    </w:p>
    <w:p w14:paraId="167723A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Отримуємо розумiння заходiв внутрiшнього контролю, що стосуються аудиту, для розробки аудиторських процедур, якi б вiдповiдали обставинам, а не для висловлення думки щодо ефективностi системи внутрiшнього контролю Товариства; </w:t>
      </w:r>
    </w:p>
    <w:p w14:paraId="739F93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Оцiнюємо прийнятнiсть застосованих облiкових полiтик та обгрунтованiсть облiкових оцiнок i вiдповiдних розкриттiв iнформацiї, зроблених управлiнським персоналом; </w:t>
      </w:r>
    </w:p>
    <w:p w14:paraId="4BE8EE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Доходимо висновку щодо прийнятностi використання управлiнським персоналом припущення про безперервнiсть дiяльностi як основи для бухгалтерського облiку та, на основi отриманих аудиторських доказiв, робимо висновок, чи iснує суттєва невизначенiсть щодо подiй або умов, що може поставити пiд значний сумнiв здатнiсть Товариства продовжувати дiяльнiсть на безперервнiй основi. Якщо ми доходимо висновку щодо iснування такої суттєвої невизначеностi, ми повиннi привернути увагу в нашому звiтi аудитора до вiдповiд</w:t>
      </w:r>
      <w:r>
        <w:rPr>
          <w:rFonts w:ascii="Times New Roman CYR" w:hAnsi="Times New Roman CYR" w:cs="Times New Roman CYR"/>
          <w:kern w:val="0"/>
        </w:rPr>
        <w:t xml:space="preserve">них розкриттiв iнформацiї у фiнансовiй звiтностi або, якщо такi розкриття iнформацiї є неналежними, модифiкувати свою думку. Нашi висновки грунтуються на аудиторських доказах, отриманих до дати нашого звiту аудитора. Втiм майбутнi подiї або умови можуть примусити Товариство припинити свою дiяльнiсть на безперервнiй основi; </w:t>
      </w:r>
    </w:p>
    <w:p w14:paraId="422125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Оцiнюємо загальне подання, структуру та змiст фiнансової звiтностi включно з розкриттям iнформацiї, а також те, чи вiдображає фiнансова звiтнiсть операцiї та подiї, що покладенi в осно</w:t>
      </w:r>
      <w:r>
        <w:rPr>
          <w:rFonts w:ascii="Times New Roman CYR" w:hAnsi="Times New Roman CYR" w:cs="Times New Roman CYR"/>
          <w:kern w:val="0"/>
        </w:rPr>
        <w:t>ву її складання, так, щоб досягти достовiрного вiдображення. Ми повiдомляємо тим, кого надiлено найвищими повноваженнями, разом з iншими питаннями, iнформацiю про запланований обсяг та час проведення аудиту та суттєвi результати аудиту, включаючи будь-якi суттєвi недолiки заходiв внутрiшнього контролю, виявленi нами пiд час аудиту. Ми також надаємо тим, кого надiлено найвищими повноваженнями, твердження, що ми виконали вiдповiднi етичнi вимоги щодо незалежностi, та повiдомляємо їм про всi стосунки й iншi пи</w:t>
      </w:r>
      <w:r>
        <w:rPr>
          <w:rFonts w:ascii="Times New Roman CYR" w:hAnsi="Times New Roman CYR" w:cs="Times New Roman CYR"/>
          <w:kern w:val="0"/>
        </w:rPr>
        <w:t>тання, якi могли б обгрунтовано вважатись такими, що впливають на нашу незалежнiсть, а також, де це застосовно, про дiї, спрямованi на усунення загроз, i вжитi застережнi заходи. З перелiку усiх питань, iнформацiя про якi надавалась тим, кого надiлено найвищими повноваженнями, ми визначили тi питання, що були найбiльш значущими пiд час аудиту фiнансової звiтностi, тобто тi, якi є ключовими питаннями аудиту. Ми описуємо цi питання в нашому звiтi незалежного аудитора, крiм випадкiв, якщо законодавчим чи регул</w:t>
      </w:r>
      <w:r>
        <w:rPr>
          <w:rFonts w:ascii="Times New Roman CYR" w:hAnsi="Times New Roman CYR" w:cs="Times New Roman CYR"/>
          <w:kern w:val="0"/>
        </w:rPr>
        <w:t>яторним актом заборонено публiчне розкриття такого питання, або коли за вкрай виняткових обставин ми визначаємо, що таке питання не слiд висвiтлювати в нашому звiтi, оскiльки негативнi наслiдки такого висвiтлення можуть очiкувано переважити його кориснiсть для iнтересiв громадськостi.</w:t>
      </w:r>
    </w:p>
    <w:p w14:paraId="0CB5D6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ЗВIТ ЩОДО ВИМОГ IНШИХ ЗАКОНОДАВЧИХ I НОРМАТИВНИХ АКТIВ </w:t>
      </w:r>
    </w:p>
    <w:p w14:paraId="36E6DFE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Згiдно з вимогами частини четвертої статтi 14 Закону України "Про аудит фiнансової звiтностi та аудиторську дiяльнiсть" та вiдповiдно до "Вимог до iнформацiї, що стосується аудиту або огляду фiнансової звiтностi учасникiв ринку капiталу та органiзованих товарних ринкiв, нагляд за якими здiйснює Нацiональна комiсiя з цiнних паперiв та фондового ринку", затверджених Рiшенням НКЦПФР вiд 22 липня 2021 року №555, ми надаємо наступну iнформацiю, що вимагається додатково до вимог МСА. Найменування органу, який пр</w:t>
      </w:r>
      <w:r>
        <w:rPr>
          <w:rFonts w:ascii="Times New Roman CYR" w:hAnsi="Times New Roman CYR" w:cs="Times New Roman CYR"/>
          <w:kern w:val="0"/>
        </w:rPr>
        <w:t xml:space="preserve">изначив суб'єкта аудиторської дiяльностi на проведення обов'язкового аудиту ТОВ "ЛУКАС АУДИТ" призначено аудиторами вiдповiдно до рiшення учасника Товариства для проведення обов'язкового аудиту фiнансової звiтностi Товариства за рiк, що закiнчився 31 грудня 2024 року. Тривалiсть виконання наших завдань з аудиту Товариства без перерви три роки. Аудит фiнансової звiтностi Товариства за рiк, що закiнчився 31 грудня 2024 року, був проведений нами </w:t>
      </w:r>
      <w:r>
        <w:rPr>
          <w:rFonts w:ascii="Times New Roman CYR" w:hAnsi="Times New Roman CYR" w:cs="Times New Roman CYR"/>
          <w:kern w:val="0"/>
        </w:rPr>
        <w:lastRenderedPageBreak/>
        <w:t>на пiдставi договору № 376/ОА/IFRS/04 про надання аудиторських по</w:t>
      </w:r>
      <w:r>
        <w:rPr>
          <w:rFonts w:ascii="Times New Roman CYR" w:hAnsi="Times New Roman CYR" w:cs="Times New Roman CYR"/>
          <w:kern w:val="0"/>
        </w:rPr>
        <w:t xml:space="preserve">слуг вiд 03 березня 2026 року. Аудит був проведений нами у перiод з 04 березня 2026 року до дати цього звiту. </w:t>
      </w:r>
    </w:p>
    <w:p w14:paraId="5228936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Надання неаудиторських послуг та незалежнiсть </w:t>
      </w:r>
    </w:p>
    <w:p w14:paraId="79ABEB9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стверджуємо, що ми не надавали неаудиторськi послуги, забороненi МСА чи Законом України "Про аудит фiнансової звiтностi та аудиторську дiяльнiсть". Також, за перiод якого стосується наш аудит, ми не надавали Товариству iнших послуг, iнформацiя про якi не розкрита у звiтi про управлiння або у фiнансовiй звiтностi. ТОВ "ЛУКАС АУДИТ" та ключовий партнер з аудиту є незалежними по вiдношенню до Товариства згiдно з Мiжнародним кодексом етики професiйних бухгалтерiв (включаючи Мiжнароднi стандарти незалежностi</w:t>
      </w:r>
      <w:r>
        <w:rPr>
          <w:rFonts w:ascii="Times New Roman CYR" w:hAnsi="Times New Roman CYR" w:cs="Times New Roman CYR"/>
          <w:kern w:val="0"/>
        </w:rPr>
        <w:t xml:space="preserve">) Ради з Мiжнародних стандартiв етики для бухгалтерiв ("Кодекс РМСЕБ") та етичними вимогами, застосовними в Українi до аудиту фiнансової звiтностi, а також виконали iншi обов'язки з етики вiдповiдно до цих вимог та Кодексу РМСЕБ. Пiд час проведення аудиту нами не було встановлено жодних додаткових фактiв або питань, якi могли б вплинути на нашу незалежнiсть та на якi ми б хотiли звернути увагу. </w:t>
      </w:r>
    </w:p>
    <w:p w14:paraId="537A3F3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Iнформацiя щодо обсягу аудиту та властивих для аудиту обмежень </w:t>
      </w:r>
    </w:p>
    <w:p w14:paraId="13D844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Обсяг аудиту визначено нами таким чином, щоб ми могли отримати прийнятнi аудиторськi докази у достатньому обсязi для висловлення нашої думки про те, чи складена фiнансова звiтнiсть у всiх суттєвих аспектах вiдповiдно до застосовної концептуальної основи фiнансового звiтування з урахуванням обгрунтованостi облiкових оцiнок, засобiв контролю, а також специфiки галузi, в якiй Товариство здiйснює свою дiяльнiсть. Наш аудит проведено згiдно з МСА та вiдповiдними етичними вимогами i вiн надає нам можливiсть форм</w:t>
      </w:r>
      <w:r>
        <w:rPr>
          <w:rFonts w:ascii="Times New Roman CYR" w:hAnsi="Times New Roman CYR" w:cs="Times New Roman CYR"/>
          <w:kern w:val="0"/>
        </w:rPr>
        <w:t>улювати нашу думку. Внаслiдок властивих для аудиту обмежень бiльшiсть аудиторських доказiв, на основi яких сформованi нашi висновки та на яких грунтується наша думка, є швидше переконливими, нiж остаточними, а отже аудит не надає абсолютної гарантiї, що фiнансова звiтнiсть не мiстить викривлень, i наш аудит не гарантує майбутню життєздатнiсть Товариства, ефективнiсть чи результативнiсть ведення справ Товариства управлiнським персоналом.</w:t>
      </w:r>
    </w:p>
    <w:p w14:paraId="6ABF1D3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Аудиторськi оцiнки та пояснення щодо результативностi аудиту в частинi </w:t>
      </w:r>
      <w:r>
        <w:rPr>
          <w:rFonts w:ascii="Times New Roman CYR" w:hAnsi="Times New Roman CYR" w:cs="Times New Roman CYR"/>
          <w:kern w:val="0"/>
        </w:rPr>
        <w:t xml:space="preserve">виявлення порушень, зокрема, внаслiдок шахрайства </w:t>
      </w:r>
    </w:p>
    <w:p w14:paraId="40D0E29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Загальнi процедури iдентифiкацiї та оцiнки ризикiв</w:t>
      </w:r>
      <w:r>
        <w:rPr>
          <w:rFonts w:ascii="Times New Roman CYR" w:hAnsi="Times New Roman CYR" w:cs="Times New Roman CYR"/>
          <w:kern w:val="0"/>
        </w:rPr>
        <w:t xml:space="preserve"> суттєвого викривлення внаслiдок шахрайства чи помилки, якi застосовувалися пiд час нашого аудиту: </w:t>
      </w:r>
    </w:p>
    <w:p w14:paraId="289238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запити управлiнському персоналу та iншим працiвникам, що стосуються власної оцiнки ризику шахрайства та встановлених заходiв контролю для запобiгання й виявлення шахрайства; </w:t>
      </w:r>
    </w:p>
    <w:p w14:paraId="0C8B07C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оцiнку того, чи свiдчать аналiтичнi процедури, якi виконуються наприкiнцi аудиту про попередньо нерозпiзнаний ризик суттєвого викривлення внаслiдок шахрайства;</w:t>
      </w:r>
    </w:p>
    <w:p w14:paraId="4CB581B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o огляд облiкових оцiнок на наявнiсть упередженостi та ризику суттєвого викривлення внаслiдок шахрайства;</w:t>
      </w:r>
    </w:p>
    <w:p w14:paraId="6A3EBE1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o аналiз середовища внутрiшнього контролю Товариства, процесу iдентифiкацiї бiзнес ризикiв, доречних для цiлей фiнансового звiтування, якi застосованi в Товариствi, оцiнювання значущостi ризикiв, ймовiрностi їх виникнення, а також прийняття рiшень Товариством щодо механiзму розгляду цих ризикiв; </w:t>
      </w:r>
    </w:p>
    <w:p w14:paraId="041087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аналiз регуляторних ризикiв (регуляторне середовище, у т. ч. застосована концептуальна основа фiнансового звiтування та правове та полiтичне середовище);</w:t>
      </w:r>
    </w:p>
    <w:p w14:paraId="092264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розумiння заходiв контролю, що стосуються фiнансового звiтування, основних заходiв, якi Товариство використовує для монiторингу внутрiшнього контролю за фiнансовим звiтуванням; </w:t>
      </w:r>
    </w:p>
    <w:p w14:paraId="07713F1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виконання аналiтичних процедур по сутi разом iз детальними тестами, як процедурами по сутi вiдповiдно до вимог професiйних стандартiв щодо вiдображених сум, беручи до уваги джерело, порiвняннiсть, характер i вiдповiднiсть доступної iнформацiї, та заходи внутрiшнього контролю за пiдготовкою фiнансової звiтностi; </w:t>
      </w:r>
    </w:p>
    <w:p w14:paraId="1E8F3A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iншi процедури, у тому числi огляд журнальних проводок та iнших коригувань, огляд облiкових оцiнок на наявнiсть упередженостi, отримання зовнiшнiх пiдтверджень, аналiз мiсць розташування активiв, включення елементу непередбачуваностi в аудиторськi процедури. У роздiлi "Ключовi питання аудиту" нашого звiту нами розкритi питання, якi були значущими пiд час нашого аудиту фiнансової звiтностi та якi, згiдно з нашими професiйними судженнями потребували значної уваги та про якi повiдомлялось найвищому управлiн</w:t>
      </w:r>
      <w:r>
        <w:rPr>
          <w:rFonts w:ascii="Times New Roman CYR" w:hAnsi="Times New Roman CYR" w:cs="Times New Roman CYR"/>
          <w:kern w:val="0"/>
        </w:rPr>
        <w:t xml:space="preserve">ському персоналу Товариства. Цi питання було розглянуто в </w:t>
      </w:r>
      <w:r>
        <w:rPr>
          <w:rFonts w:ascii="Times New Roman CYR" w:hAnsi="Times New Roman CYR" w:cs="Times New Roman CYR"/>
          <w:kern w:val="0"/>
        </w:rPr>
        <w:lastRenderedPageBreak/>
        <w:t>контекстi аудиту фiнансової звiтностi в цiлому, та ми не висловлюємо окремої думки щодо цих питань. У роздiлi "Суттєва невизначенiсть, що стосується безперервностi дiяльностi" нашого звiту, нами описано питання, яке розкрито у фiнансовiй звiтностi та на яке, на наше професiйне судження, також доцiльно звернути увагу. Це питання розглянуто в контекстi нашого аудиту фiнансової звiтностi в цiлому, є фундаментальним для розумiння фiнансової звiтностi кор</w:t>
      </w:r>
      <w:r>
        <w:rPr>
          <w:rFonts w:ascii="Times New Roman CYR" w:hAnsi="Times New Roman CYR" w:cs="Times New Roman CYR"/>
          <w:kern w:val="0"/>
        </w:rPr>
        <w:t>истувачами, не використовується нами замiсть опису ключових питань аудиту, та ми не вносили подальших застережень до нашої думки щодо цього питання. Окрiм тих питань, що зазначенi у роздiлах з вiдповiдними посиланнями на розкриття iнформацiї, а саме "Суттєва невизначенiсть, що стосується безперервностi дiяльностi" та "Пояснювальнi параграфи" нашого звiту, ми не виявили iнших питань стосовно оцiнок, iнформацiю щодо яких ми вважаємо за доцiльне розкрити вiдповiдно до частини третьої статтi 14 Закону України "</w:t>
      </w:r>
      <w:r>
        <w:rPr>
          <w:rFonts w:ascii="Times New Roman CYR" w:hAnsi="Times New Roman CYR" w:cs="Times New Roman CYR"/>
          <w:kern w:val="0"/>
        </w:rPr>
        <w:t>Про аудит фiнансової звiтностi та аудиторську дiяльнiсть".</w:t>
      </w:r>
    </w:p>
    <w:p w14:paraId="77D6D49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Вiдповiдно до результатiв нашого аудиту, всi виявленi ризики, що є значущими (за нашими професiйними судженнями), були обговоренi з найвищим управлiнським персоналом Товариства, тi з них, якi потребували коригувань у фiнансовiй звiтностi, вiдкоригованi, тi, що потребували значної уваги додатково описанi у роздiлах "Суттєва невизначенiсть, що стосується безперервностi дiяльностi" та "Пояснювальнi параграфи" нашого звiту. За результатами аудиту нами н</w:t>
      </w:r>
      <w:r>
        <w:rPr>
          <w:rFonts w:ascii="Times New Roman CYR" w:hAnsi="Times New Roman CYR" w:cs="Times New Roman CYR"/>
          <w:kern w:val="0"/>
        </w:rPr>
        <w:t xml:space="preserve">е встановлено фактiв та обставин, якi б свiдчили про наявнiсть порушень та суттєвого викривлення фiнансової звiтностi за рiк, що закiнчився 31 грудня 2024 року, внаслiдок шахрайства. Додатковий звiт для Наглядової ради Товариства Ми пiдтверджуємо, що цей звiт незалежного аудитора узгоджений з додатковим звiтом для Наглядової ради Товариства. </w:t>
      </w:r>
    </w:p>
    <w:p w14:paraId="07A7DA5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Звiтування щодо вимог НКЦПФР</w:t>
      </w:r>
    </w:p>
    <w:p w14:paraId="4D70EC5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Повне найменування юридичної особи: АКЦIОНЕРНЕ ТОВАРИСТВО "ЦЕНТР ФIН СЕРВIС", iдентифiкацiйний код 35333145. </w:t>
      </w:r>
    </w:p>
    <w:p w14:paraId="002795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Товариство не є пiдприємством, що становить суспiльний iнтерес, вiдповiдно до Закону України "Про бухгалтерський облiк та фiнансову звiтнiсть в Українi". </w:t>
      </w:r>
    </w:p>
    <w:p w14:paraId="0992DB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Товариство було учасником банкiвської групи "Кредит Днiпро", до складу якої також входять АТ "Банк Кредит Днiпро", АТ "Страхова Компанiя "IНГО" ПАТ "Нацiональна Акцiонерна Страхова Компанiя "Оранта", ТОВ "Українська металургiйна компанiя" та ТОВ КУА "Герiтiдж Iнвестмент Менеджмент". </w:t>
      </w:r>
    </w:p>
    <w:p w14:paraId="62073C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материнською компанiєю Товариства (акцiонером, якому належить 99% акцiй Товариства) було АТ "Страхова Компанiя "IНГО", iдентифiкацiйний код 16285602, про що зазначено у примiтках до фiнансової звiтностi. </w:t>
      </w:r>
    </w:p>
    <w:p w14:paraId="4AA38B6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кiнцевим бенефiцiарним власником (контролером) Товариства був громадянин України Ярославський Олександр Владиленович, про що зазначено у примiтках до фiнансової звiтностi. </w:t>
      </w:r>
    </w:p>
    <w:p w14:paraId="7F28A2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статутний капiтал Товариства сформований та сплачений в повному обсязi, розмiр статутного капiталу вiдповiдає установчим документам Товариства та законодавчо встановленим вимогам. </w:t>
      </w:r>
    </w:p>
    <w:p w14:paraId="54EA052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статутний капiтал Товариства становив 21 000 тис. грн та складався з 210 000 простих iменних акцiй номiнальною вартiстю 100 грн кожна. </w:t>
      </w:r>
    </w:p>
    <w:p w14:paraId="30D59A7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Товариство не мало дочiрнiх компанiй. Iнформацiю про фiнансовi iнвестицiї Товариства розкрито у примiтках до фiнансової звiтностi. </w:t>
      </w:r>
    </w:p>
    <w:p w14:paraId="0D94930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Пiсля дати балансу не вiдбувалося жодних подiй, якi не знайшли вiдображення у фiнансовiй звiтностi, проте могли б мати суттєвий вплив на фiнансовий стан Товариства, окрiм тих, iнформацiя про якi розкрита у примiтках до фiнансової звiтностi. </w:t>
      </w:r>
    </w:p>
    <w:p w14:paraId="17D8BF9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Нам невiдомо про наявнiсть будь-яких iнших фактiв та обставин, якi можуть суттєво вплинути на дiяльнiсть Товариства у майбутньому, окрiм тих, iнформацiя про якi розкрита у примiтках до фiнансової звiтностi. </w:t>
      </w:r>
    </w:p>
    <w:p w14:paraId="713BEEF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На основi проведеної нами роботи у зв'язку з аудитом фiнансової звiтностi Товариства, на нашу думку, Звiт про управлiння є узгодженим, у всiх суттєвих аспектах, з фiнансовою звiтнiстю та не мiстить суттєвих викривлень, окрiм можливого впливу питань, описаних у роздiлах "Суттєва невизначенiсть, що стосується безперервностi дiяльностi" та "Пояснювальнi параграфи" цього звiту на фiнансову звiтнiсть та, вiдповiдно, Звiт про управлiння.</w:t>
      </w:r>
    </w:p>
    <w:p w14:paraId="234B0F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Звiт про управлiння мiстить вiдомостi про корпоративне управлiння вiдповiдно до вимог Закону України "Про фiнансовi послуги та державне регулювання ринкiв фiнансових послуг". </w:t>
      </w:r>
    </w:p>
    <w:p w14:paraId="11A58EF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Товариством було розроблено та ухвалено Корпоративний кодекс, основною метою розробки якого було прагнення регламентацiї процесу функцiонування системи корпоративного управлiння та створення механiзмiв її подальшого вдосконалення для забезпечення прав i iнтересiв акцiонерiв Товариства, пiдвищення ефективностi ведення бiзнесу, збiльшення рiвня прозоростi та iнвестицiйної привабливостi Товариства, збереження та примноження акцiонерного капiталу.</w:t>
      </w:r>
    </w:p>
    <w:p w14:paraId="176A13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Складання таксономiї фiнансової звiтностi пiдприємствами, якi застосовують МСФЗ </w:t>
      </w:r>
    </w:p>
    <w:p w14:paraId="5B787FA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Вiдповiдно до пункту 5 статтi 121 Закону України "Про бухгалтерський облiк та фiнансову звiтнiсть в Українi", пiдприємства, якi для складання фiнансової звiтностi застосовують МСФЗ, складають i подають фiнансову звiтнiсть органам державної влади та iншим користувачам на їх вимогу на основi таксономiї фiнансової звiтностi за мiжнародними стандартами в єдиному електронному форматi, визначеному Мiнiстерством фiнансiв України (формат iXBRL). Товариство планує подати окрему фiнансову звiтнiсть у зазначеному фор</w:t>
      </w:r>
      <w:r>
        <w:rPr>
          <w:rFonts w:ascii="Times New Roman CYR" w:hAnsi="Times New Roman CYR" w:cs="Times New Roman CYR"/>
          <w:kern w:val="0"/>
        </w:rPr>
        <w:t>матi пiсля дати нашого звiту незалежного аудитора.</w:t>
      </w:r>
    </w:p>
    <w:p w14:paraId="38C562C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ОСНОВНI ВIДОМОСТI ПРО СУБ'ЄКТ АУДИТОРСЬКОЇ ДIЯЛЬНОСТI</w:t>
      </w:r>
    </w:p>
    <w:p w14:paraId="076B994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аудиторської фiрми ТОВАРИСТВО З ОБМЕЖЕНОЮ ВIДПОВIДАЛЬНIСТЮ "ЛУКАС АУДИТ"</w:t>
      </w:r>
    </w:p>
    <w:p w14:paraId="45E508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Iдентифiкацiйний код юридичної особи 19029087</w:t>
      </w:r>
    </w:p>
    <w:p w14:paraId="7E82DA3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Юридична та фактична адреса Україна, м. Київ, пл. Спортивна, 1а, 17 поверх</w:t>
      </w:r>
    </w:p>
    <w:p w14:paraId="7CF9EB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Вебсайт www.lucasua.com</w:t>
      </w:r>
    </w:p>
    <w:p w14:paraId="1AC612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Iнформацiя про включення до реєстру реєстрацiя у Реєстрi аудиторiв та суб'єктiв аудиторської дiяльностi у роздiлi суб'єкти аудиторської дiяльностi, якi мають право проводити обов'язковий аудит фiнансової звiтностi № 1000</w:t>
      </w:r>
    </w:p>
    <w:p w14:paraId="3BB4B4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Ключовим партнером з аудиту, вiдповiдальним за завдання з аудиту, за результатами якого випущено цей звiт незалежного аудитора є Катчик Андрiй Трифонович.</w:t>
      </w:r>
    </w:p>
    <w:p w14:paraId="1E7B60A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 iменi ТОВ "ЛУКАС АУДИТ" Андрiй Катчик Директор Номер реєстрацiї аудитора у Реєстрi аудиторiв та суб'єктiв аудиторської дiяльностi №101002 29 травня 2026 року</w:t>
      </w:r>
    </w:p>
    <w:p w14:paraId="7E383F2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4EDAF25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"ЦЕНТР ФIН СЕРВIС" ЗАЯВА ПРО ВIДПОВIДАЛЬНIСТЬ КЕРIВНИЦТВА ЗА ПIДГОТОВКУ I ЗАТВЕРДЖЕННЯ ФIНАНСОВОЇ ЗВIТНОСТI</w:t>
      </w:r>
    </w:p>
    <w:p w14:paraId="408FB8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Керiвництво Акцiонерного товариства "ЦЕНТР ФIН СЕРВIС" (далi Товариство) несе вiдповiдальнiсть за пiдготовку фiнансової звiтностi Товариства за рiк, що закiнчився 31 грудня 2024 року, вiдповiдно до Мiжнародних стандартiв фiнансової звiтностi (далi МСФЗ). Пiд час пiдготовки фiнансової звiтностi у вiдповiдностi до МСФЗ керiвництво Товариства несе вiдповiдальнiсть за: </w:t>
      </w:r>
    </w:p>
    <w:p w14:paraId="649904D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вибiр належних принципiв бухгалтерського облiку та їх послiдовне застосування; </w:t>
      </w:r>
    </w:p>
    <w:p w14:paraId="5D5A8C6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застосування обгрунтованих оцiнок i суджень; </w:t>
      </w:r>
    </w:p>
    <w:p w14:paraId="75CA553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дотримання принципiв МСФЗ або розкриття всiх суттєвих вiдхилень вiд МСФЗ; </w:t>
      </w:r>
    </w:p>
    <w:p w14:paraId="6E34F9F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пiдготовку фiнансової звiтностi вiдповiдно до МСФЗ, згiдно припущення, що Товариство' i далi буде здiйснювати свою дiяльнiсть у найближчому майбутньому, за виключенням випадкiв, коли таке припущення не буде правомiрним; </w:t>
      </w:r>
    </w:p>
    <w:p w14:paraId="0166A6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облiк та розкриття у фiнансовiй звiтностi всiх вiдносин та операцiй з пов'язаними сторонами; </w:t>
      </w:r>
    </w:p>
    <w:p w14:paraId="5A026C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облiк та розкриття у фiнансовiй звiтностi всiх подiй пiсля дати балансу, якi вимагають корегування або розкриття; </w:t>
      </w:r>
    </w:p>
    <w:p w14:paraId="2A07A9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розкриття всiх претензiй у зв'язку з судовими позовами, якi були, або, можливi в найближчому майбутньому; </w:t>
      </w:r>
    </w:p>
    <w:p w14:paraId="02F9001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достовiрне розкриття в фiнансовiй звiтностi iнформацiї про всi наданi кредити або гарантiї вiд iменi керiвництва. Керiвництво, в межах своєї компетенцiї, також несе вiдповiдальнiсть за: </w:t>
      </w:r>
    </w:p>
    <w:p w14:paraId="2585721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розробку, впровадження та забезпечення функцiонування ефективної i надiйної системи внутрiшнього контролю; </w:t>
      </w:r>
    </w:p>
    <w:p w14:paraId="0B776A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ведення бухгалтерського облiку вiдповiдно до вимог законодавства та стандартiв бухгалтерського облiку України; </w:t>
      </w:r>
    </w:p>
    <w:p w14:paraId="7F39AD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прийняття заходiв у межах своєї компетенцiї для захисту активiв Товариства; </w:t>
      </w:r>
    </w:p>
    <w:p w14:paraId="62CDC7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виявлення та попередження фактiв шахрайства та iнших зловживань. Фiнансова звiтнiсть за рiк, що </w:t>
      </w:r>
      <w:r>
        <w:rPr>
          <w:rFonts w:ascii="Times New Roman CYR" w:hAnsi="Times New Roman CYR" w:cs="Times New Roman CYR"/>
          <w:kern w:val="0"/>
        </w:rPr>
        <w:lastRenderedPageBreak/>
        <w:t xml:space="preserve">закiнчився 31 грудня 2024 року, була затверджена 31 сiчня 2025 року. </w:t>
      </w:r>
    </w:p>
    <w:p w14:paraId="0B6A4E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 iменi керiвництва Товариства: </w:t>
      </w:r>
    </w:p>
    <w:p w14:paraId="085B84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Директор Колiсецька Л.О. </w:t>
      </w:r>
    </w:p>
    <w:p w14:paraId="39E697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Головний бухгалтер Рулiкiвська Н.I.</w:t>
      </w:r>
    </w:p>
    <w:p w14:paraId="5E4D33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52AD5C5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5FBD03F2"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Твердження щодо річної інформації</w:t>
      </w:r>
    </w:p>
    <w:p w14:paraId="714D42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Нацiональному банку України</w:t>
      </w:r>
    </w:p>
    <w:p w14:paraId="3BFE89F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Акцiонерам та керiвництву </w:t>
      </w:r>
    </w:p>
    <w:p w14:paraId="2F00917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АТ "Страхова компанiя "IНГО ЖИТТЯ"/ АТ "ЦЕНТР ФIН СЕРВIС"</w:t>
      </w:r>
    </w:p>
    <w:p w14:paraId="43D870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IДЕНТИФIКАЦIЯ ТА ОПИС ПРЕДМЕТА ЗАВДАННЯ</w:t>
      </w:r>
    </w:p>
    <w:p w14:paraId="615DA6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0DA3ED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Керiвництво Акцiонерного товариства "ЦЕНТР ФIН СЕРВIС" (далi Товариство) несе вiдповiдальнiсть за пiдготовку фiнансової звiтностi Товариства за рiк, що закiнчився 31 грудня 2024 року, вiдповiдно до Мiжнародних стандартiв фiнансової звiтностi (далi МСФЗ). Пiд час пiдготовки фiнансової звiтностi у вiдповiдностi до МСФЗ керiвництво Товариства несе вiдповiдальнiсть за: </w:t>
      </w:r>
    </w:p>
    <w:p w14:paraId="2FAACA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вибiр належних принципiв бухгалтерського облiку та їх послiдовне застосування; </w:t>
      </w:r>
    </w:p>
    <w:p w14:paraId="461DDFE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застосування обгрунтованих оцiнок i суджень; </w:t>
      </w:r>
    </w:p>
    <w:p w14:paraId="032374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дотримання принципiв МСФЗ або розкриття всiх суттєвих вiдхилень вiд МСФЗ; </w:t>
      </w:r>
    </w:p>
    <w:p w14:paraId="024900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пiдготовку фiнансової звiтностi вiдповiдно до МСФЗ, згiдно припущення, що Товариство' i далi буде здiйснювати свою дiяльнiсть у найближчому майбутньому, за виключенням випадкiв, коли таке припущення не буде правомiрним; </w:t>
      </w:r>
    </w:p>
    <w:p w14:paraId="459AE5B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облiк та розкриття у фiнансовiй звiтностi всiх вiдносин та операцiй з пов'язаними сторонами; </w:t>
      </w:r>
    </w:p>
    <w:p w14:paraId="626BD89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облiк та розкриття у фiнансовiй звiтностi всiх подiй пiсля дати балансу, якi вимагають корегування або розкриття; </w:t>
      </w:r>
    </w:p>
    <w:p w14:paraId="5E60409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розкриття всiх претензiй у зв'язку з судовими позовами, якi були, або, можливi в найближчому майбутньому; </w:t>
      </w:r>
    </w:p>
    <w:p w14:paraId="2D9ABBB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достовiрне розкриття в фiнансовiй звiтностi iнформацiї про всi наданi кредити або гарантiї вiд iменi керiвництва. Керiвництво, в межах своєї компетенцiї, також несе вiдповiдальнiсть за: </w:t>
      </w:r>
    </w:p>
    <w:p w14:paraId="24214E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розробку, впровадження та забезпечення функцiонування ефективної i надiйної системи внутрiшнього контролю; </w:t>
      </w:r>
    </w:p>
    <w:p w14:paraId="2CCE57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ведення бухгалтерського облiку вiдповiдно до вимог законодавства та стандартiв бухгалтерського облiку України; </w:t>
      </w:r>
    </w:p>
    <w:p w14:paraId="02F053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прийняття заходiв у межах своєї компетенцiї для захисту активiв Товариства; </w:t>
      </w:r>
    </w:p>
    <w:p w14:paraId="58D01F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виявлення та попередження фактiв шахрайства та iнших зловживань. Фiнансова звiтнiсть за рiк, що закiнчився 31 грудня 2024 року, була затверджена 31 сiчня 2025 року. </w:t>
      </w:r>
    </w:p>
    <w:p w14:paraId="43492C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93C7C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Ми виконали завдання з надання впевненостi, що не є аудитом чи оглядом iсторичної фiнансової </w:t>
      </w:r>
    </w:p>
    <w:p w14:paraId="508C59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iнформацiї, щодо рiчних звiтних даних Акцiонерного товариства "Страхова компанiя "IНГО</w:t>
      </w:r>
    </w:p>
    <w:p w14:paraId="3347EB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ЖИТТЯ" (далi також Товариство) за 2024 рiк (далi рiчнi звiтнi данi) вiдповiдно до пункту 487</w:t>
      </w:r>
    </w:p>
    <w:p w14:paraId="69348A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"Положення про лiцензування та реєстрацiю надавачiв фiнансових послуг та умови провадження </w:t>
      </w:r>
    </w:p>
    <w:p w14:paraId="1FB1F8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ними дiяльностi з надання фiнансових послуг", затвердженого постановою Правлiння </w:t>
      </w:r>
    </w:p>
    <w:p w14:paraId="098C13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Нацiонального банку України вiд 24.12.2021 року № 153. </w:t>
      </w:r>
    </w:p>
    <w:p w14:paraId="5DE04D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Ми виконали наше завдання у вiдповiдностi до Мiжнародного стандарту завдань з надання </w:t>
      </w:r>
    </w:p>
    <w:p w14:paraId="01036F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впевненостi 3000 (переглянутий) "Завдання з надання впевненостi, що не є аудитом чи оглядом </w:t>
      </w:r>
    </w:p>
    <w:p w14:paraId="7BDF0E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iсторичної фiнансової iнформацiї" (далi МСЗНВ 3000), а також вимог чинного законодавства України.</w:t>
      </w:r>
    </w:p>
    <w:p w14:paraId="374A33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Метою завдання є надання обгрунтованої впевненостi щодо вiдповiдностi рiчних звiтних даних </w:t>
      </w:r>
    </w:p>
    <w:p w14:paraId="3498BF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Товариства вимогам "Правил складання та подання звiтностi учасниками ринку небанкiвських </w:t>
      </w:r>
    </w:p>
    <w:p w14:paraId="62E525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фiнансових послуг до Нацiонального банку України", затверджених постановою Правлiння </w:t>
      </w:r>
    </w:p>
    <w:p w14:paraId="0BED637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Нацiонального банку України вiд 25 листопада 2021 року № 123 (далi також Правила).</w:t>
      </w:r>
    </w:p>
    <w:p w14:paraId="2D0CDE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Виконання завдання з надання обгрунтованої впевненостi не є виконанням завдання з аудиту або </w:t>
      </w:r>
    </w:p>
    <w:p w14:paraId="61C20A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огляду. Виконання завдання з обгрунтованої впевненостi передбачає, що практикуючий фахiвець </w:t>
      </w:r>
    </w:p>
    <w:p w14:paraId="6C1DB82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зменшує ризик завдання до прийнятного рiвня, враховуючи обставини завдання як базовi умови </w:t>
      </w:r>
    </w:p>
    <w:p w14:paraId="4B2F3DF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для формування свого висновку. Крiм того iснують властивi обмеження завдання з надання </w:t>
      </w:r>
    </w:p>
    <w:p w14:paraId="6E69C9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обгрунтованої впевненостi, якi призводять до того, що разом iз властивими обмеженнями системи </w:t>
      </w:r>
    </w:p>
    <w:p w14:paraId="6B70CF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внутрiшнього контролю iснує неминучий ризик того, що деякi невiдповiдностi критерiям можливо </w:t>
      </w:r>
    </w:p>
    <w:p w14:paraId="61DC6E9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 виявити навiть у тому разi, коли завдання з надання обгрунтованої впевненостi належним </w:t>
      </w:r>
    </w:p>
    <w:p w14:paraId="608ADC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чином сплановане i виконується вiдповiдно до МСЗНВ.</w:t>
      </w:r>
    </w:p>
    <w:p w14:paraId="4A4AAD5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ЗАСТОСОВНI КРИТЕРIЇ</w:t>
      </w:r>
    </w:p>
    <w:p w14:paraId="2DE9C2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Критерiї, за допомогою яких було оцiнено рiчнi звiтнi данi, мiстяться у Правилах та полягають у </w:t>
      </w:r>
    </w:p>
    <w:p w14:paraId="7BCDAF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пiдтвердженнi достовiрностi та повноти рiчних звiтних даних, а саме того, чи складенi вони на </w:t>
      </w:r>
    </w:p>
    <w:p w14:paraId="1CC7EA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пiдставi даних бухгалтерського облiку за вiдповiдний перiод i мiстять показники дiяльностi, що не </w:t>
      </w:r>
    </w:p>
    <w:p w14:paraId="3C769E5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суперечать один одному та є порiвняними.</w:t>
      </w:r>
    </w:p>
    <w:p w14:paraId="2DA658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ОБМЕЖЕННЯ ЩОДО РОЗПОВСЮДЖЕННЯ</w:t>
      </w:r>
    </w:p>
    <w:p w14:paraId="61ADB7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Оскiльки застосовнi критерiї, визначенi у Правилах, були розробленi в регуляторних цiлях, ми </w:t>
      </w:r>
    </w:p>
    <w:p w14:paraId="6066FB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попереджаємо, що iнформацiя стосовно предмета завдання може не пiдходити для будь якої iншої мети.</w:t>
      </w:r>
    </w:p>
    <w:p w14:paraId="69C1C9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Оскiльки цей звiт складений виключно для надання Нацiональному банку України, вiн не може </w:t>
      </w:r>
    </w:p>
    <w:p w14:paraId="4A5A1CA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використовуватися для iнших цiлей i не може розповсюджуватись iншим сторонам, окрiм </w:t>
      </w:r>
    </w:p>
    <w:p w14:paraId="7E098D9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Товариства та Нацiонального банку України.</w:t>
      </w:r>
    </w:p>
    <w:p w14:paraId="4F8943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ВIДПОВIДАЛЬНIСТЬ СТОРIН</w:t>
      </w:r>
    </w:p>
    <w:p w14:paraId="6001A6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Управлiнський персонал несе вiдповiдальнiсть за складання рiчних звiтних даних, вiдповiдно до </w:t>
      </w:r>
    </w:p>
    <w:p w14:paraId="3A5052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чинного законодавства України та застосовних критерiїв, а також за таку систему внутрiшнього </w:t>
      </w:r>
    </w:p>
    <w:p w14:paraId="367FAF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контролю, яку вiн вважає необхiдною для складання рiчних звiтних даних, що не мiстять суттєвих </w:t>
      </w:r>
    </w:p>
    <w:p w14:paraId="5B8645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викривлень внаслiдок шахрайства або помилки.</w:t>
      </w:r>
    </w:p>
    <w:p w14:paraId="49325B4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Нашою вiдповiдальнiстю є надання висновку щодо вiдповiдностi рiчних звiтних даних Товариства </w:t>
      </w:r>
    </w:p>
    <w:p w14:paraId="2BE50E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вимогам застосовних критерiїв.</w:t>
      </w:r>
    </w:p>
    <w:p w14:paraId="0D63B4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Ми виконали наше завдання згiдно з МСЗНВ 3000 вiдповiдно до Мiжнародних стандартiв контролю </w:t>
      </w:r>
    </w:p>
    <w:p w14:paraId="451692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якостi, аудиту, огляду, iншого надання впевненостi та супутнiх послуг, виданих Радою з </w:t>
      </w:r>
    </w:p>
    <w:p w14:paraId="0E0AD9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Мiжнародних стандартiв аудиту та надання впевненостi, приймаючи до уваги нацiональнi  нормативи.</w:t>
      </w:r>
    </w:p>
    <w:p w14:paraId="515090B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ЗАСТОСОВНI ВИМОГИ КОНТРОЛЮ ЯКОСТI</w:t>
      </w:r>
    </w:p>
    <w:p w14:paraId="1ACB86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Наша аудиторська фiрма, дотримуючись вимог Мiжнародного стандарту контролю якостi 1, </w:t>
      </w:r>
    </w:p>
    <w:p w14:paraId="0CE1AF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впровадила комплексну систему контролю якостi, включаючи задокументовану полiтику та </w:t>
      </w:r>
    </w:p>
    <w:p w14:paraId="4913F6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процедури щодо дотримання етичних вимог, професiйних стандартiв i застосовних вимог </w:t>
      </w:r>
    </w:p>
    <w:p w14:paraId="1DE7BA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законодавчих та нормативних актiв.</w:t>
      </w:r>
    </w:p>
    <w:p w14:paraId="5DE4CA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ДОТРИМАННЯ ВИМОГ НЕЗАЛЕЖНОСТI ТА IНШИХ ЕТИЧНИХ ВИМОГ</w:t>
      </w:r>
    </w:p>
    <w:p w14:paraId="2D4194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Ми дотримались вимог незалежностi та iнших етичних вимог, викладених у Мiжнародному кодексi </w:t>
      </w:r>
    </w:p>
    <w:p w14:paraId="47FAA4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етики професiйних бухгалтерiв (включаючи Мiжнароднi стандарти незалежностi), затвердженому </w:t>
      </w:r>
    </w:p>
    <w:p w14:paraId="75971D9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Радою з Мiжнародних стандартiв етики для бухгалтерiв, який грунтується на фундаментальних </w:t>
      </w:r>
    </w:p>
    <w:p w14:paraId="415670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принципах чесностi, об'єктивностi, професiйної компетентностi та належної ретельностi, </w:t>
      </w:r>
    </w:p>
    <w:p w14:paraId="2C2DD3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конфiденцiйностi та професiйної поведiнки.</w:t>
      </w:r>
    </w:p>
    <w:p w14:paraId="750A30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ОБСЯГ ТА СТИСЛИЙ ОПИС ВИКОНАНОЇ РОБОТИ</w:t>
      </w:r>
    </w:p>
    <w:p w14:paraId="22E11A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Наше завдання передбачало виконання процедур для отримання обгрунтованої впевненостi</w:t>
      </w:r>
    </w:p>
    <w:p w14:paraId="30B4A7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щодо того, чи складенi рiчнi звiтнi данi Товариства на пiдставi даних бухгалтерського облiку за </w:t>
      </w:r>
    </w:p>
    <w:p w14:paraId="1D8409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вiдповiдний перiод вiдповiдно до зазначених вище Правил. Пiд час виконання завдання нами було </w:t>
      </w:r>
    </w:p>
    <w:p w14:paraId="6D7102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зроблено дослiдження шляхом тестування доказiв для обгрунтування сум та iнформацiї, розкритої </w:t>
      </w:r>
    </w:p>
    <w:p w14:paraId="23752E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рiчних звiтних даних Товариства. Також нами було iдентифiковано та оцiнено ризики суттєвого </w:t>
      </w:r>
    </w:p>
    <w:p w14:paraId="617B9C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викривлення iнформацiї про предмет нашого завдання.</w:t>
      </w:r>
    </w:p>
    <w:p w14:paraId="5E28DE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Зокрема, пiд час виконання завдання нами було здiйснено:</w:t>
      </w:r>
    </w:p>
    <w:p w14:paraId="60EE2B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iнспектування вiдповiдностi рiчних звiтних даних бухгалтерському облiку Товариства;</w:t>
      </w:r>
    </w:p>
    <w:p w14:paraId="2C04BF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iнспектування (вибiркове) первинних документiв, що стосуються повноти i правильностi</w:t>
      </w:r>
    </w:p>
    <w:p w14:paraId="4D346A1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формування бази даних для складання рiчних звiтних даних Товариства;</w:t>
      </w:r>
    </w:p>
    <w:p w14:paraId="6ED7029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повторне обчислення даних щодо платоспроможностi страховика;</w:t>
      </w:r>
    </w:p>
    <w:p w14:paraId="498A6B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iнспектування вiдповiдностi рiчних звiтних даних Товариства установленим формам згiдно iз застосовними критерiями;</w:t>
      </w:r>
    </w:p>
    <w:p w14:paraId="5E487D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виконання iнших процедур, визнаних нами за доцiльне.</w:t>
      </w:r>
    </w:p>
    <w:p w14:paraId="1E0E30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Ми вважаємо, що виконанi нами процедури формують достатнi пiдстави для надання нашого </w:t>
      </w:r>
    </w:p>
    <w:p w14:paraId="215B3C5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висновку щодо оцiнки предмета нашого завдання на вiдповiднiсть застосовним критерiям.</w:t>
      </w:r>
    </w:p>
    <w:p w14:paraId="4426911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6994E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ВИСНОВОК</w:t>
      </w:r>
    </w:p>
    <w:p w14:paraId="1263F1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нашу думку, рiчнi звiтнi данi Акцiонерного товариства "Страхова компанiя "IНГО ЖИТТЯ" за </w:t>
      </w:r>
    </w:p>
    <w:p w14:paraId="1F3AD6B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2024 рiк було складено в усiх суттєвих аспектах вiдповiдно до вимог "Правил складання та подання </w:t>
      </w:r>
    </w:p>
    <w:p w14:paraId="2F4BB0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звiтностi учасниками ринку небанкiвських фiнансових послуг до Нацiонального банку України", </w:t>
      </w:r>
    </w:p>
    <w:p w14:paraId="05B840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затверджених постановою Правлiння Нацiонального банку України вiд 25 листопада 2021 року № 123.</w:t>
      </w:r>
    </w:p>
    <w:p w14:paraId="088CCBD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ВIДОМОСТI ПРО СУБ'ЄКТА АУДИТОРСЬКОЇ ДIЯЛЬНОСТI</w:t>
      </w:r>
    </w:p>
    <w:p w14:paraId="1C742DE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включення до реєстру ТОВАРИСТВО З ОБМЕЖЕНОЮ ВIДПОВIДАЛЬНIСТЮ "ЛУКАС АУДИТ"</w:t>
      </w:r>
    </w:p>
    <w:p w14:paraId="3011BF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Iдентифiкацiйний код юридичної особи 19029087</w:t>
      </w:r>
    </w:p>
    <w:p w14:paraId="33D932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Юридична адреса Україна, м. Київ, вул. Саперне Поле, 14/55</w:t>
      </w:r>
    </w:p>
    <w:p w14:paraId="2E7EA7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Мiсцезнаходження (фактична адреса) Україна, м. Київ, вул. Саперне Поле, 14/55</w:t>
      </w:r>
    </w:p>
    <w:p w14:paraId="4BDD9F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включення до реєстру реєстрацiя у Реєстрi аудиторiв та суб'єктiв </w:t>
      </w:r>
    </w:p>
    <w:p w14:paraId="103668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аудиторської дiяльностi у роздiлi суб'єкти аудиторської </w:t>
      </w:r>
    </w:p>
    <w:p w14:paraId="1258BFC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дiяльностi, якi мають право проводити обов'язковий аудит фiнансової звiтностi № 1000</w:t>
      </w:r>
    </w:p>
    <w:p w14:paraId="71C2269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Ключовим партнером завдання з надання обмеженої впевненостi, за результатами якого надано </w:t>
      </w:r>
    </w:p>
    <w:p w14:paraId="404F148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цей звiт з надання впевненостi є Катчик Андрiй Трифонович.</w:t>
      </w:r>
    </w:p>
    <w:p w14:paraId="34D400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 iменi ТОВ "ЛУКАС АУДИТ"</w:t>
      </w:r>
    </w:p>
    <w:p w14:paraId="442106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Андрiй Катчик</w:t>
      </w:r>
    </w:p>
    <w:p w14:paraId="420713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Директор</w:t>
      </w:r>
    </w:p>
    <w:p w14:paraId="24910D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BBBEA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IV. Нефінансова інформація</w:t>
      </w:r>
    </w:p>
    <w:p w14:paraId="231799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Звіт керівництва (звіт про управління)</w:t>
      </w:r>
    </w:p>
    <w:p w14:paraId="5B56AF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Звернення до акціонері</w:t>
      </w:r>
      <w:r>
        <w:rPr>
          <w:rFonts w:ascii="Times New Roman CYR" w:hAnsi="Times New Roman CYR" w:cs="Times New Roman CYR"/>
          <w:kern w:val="0"/>
        </w:rPr>
        <w:t>в/учасників та інших стейкхолдерів від голови ради особи</w:t>
      </w:r>
    </w:p>
    <w:p w14:paraId="27A455B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Шановнi учасники та стейкхолдери, </w:t>
      </w:r>
    </w:p>
    <w:p w14:paraId="667A52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DB382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Повiдомляємо, що процедуру добровiльного виходу з ринку АТ "СК "IНГО ЖИТТЯ" завершено. 2 серпня 2024 року Нацiональний банк України анулював лiцензiю на страхову дiяльнiсть компанiї та виключив її з Державного реєстру фiнансових установ.  </w:t>
      </w:r>
    </w:p>
    <w:p w14:paraId="6AA05E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543195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Це стало результатом рiшення акцiонерiв "IНГО ЖИТТЯ". Вiдповiднi документи на вихiд з ринку шляхом виконання страхового портфеля були поданi до Регулятора, необхiдний дозвiл отримано, усi зобов'язання компанiєю виконано.  </w:t>
      </w:r>
    </w:p>
    <w:p w14:paraId="1A2F00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83ECA8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Наш спiльний шлях пiдтверджує, що "IНГО ЖИТТЯ" була надiйним страховим партнером. Ми вдячнi за вашу довiру i пiдтримку протягом всiх цих рокiв. Ми продовжимо цей шлях, оскiльки наш колектив залишається працювати на страховому ринку. Акцiонери компанiї постiйно вiдслiдковують змiни в кон'юнктурi сегменту страхування життя та за наявностi ринкових передумов мають всi можливостi забезпечити повернення на цей ринок протягом короткого перiоду часу.</w:t>
      </w:r>
    </w:p>
    <w:p w14:paraId="3BEBB7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CF4B7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повагою, </w:t>
      </w:r>
    </w:p>
    <w:p w14:paraId="33378F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Голова Наглядової Ради Iгор Гордiєнко</w:t>
      </w:r>
    </w:p>
    <w:p w14:paraId="757EE8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0B42C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B2B45E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Звернення до акціонерів/учасників та інших стейкхолдерів від керівника особи</w:t>
      </w:r>
    </w:p>
    <w:p w14:paraId="06257A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Акцiонери АТ "СК "IНГО Життя" прийняли рiшення щодо припинення операцiй в сегментi страхування життя з метою концентрацiї на розвитку бiльш перспективних напрямкiв нонлайф.</w:t>
      </w:r>
    </w:p>
    <w:p w14:paraId="66D185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EEC52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подала заяву до Нацiонального банку України (НБУ) для отримання дозволу на добровiльний вихiд з ринку з достроковим виконанням портфелю.</w:t>
      </w:r>
    </w:p>
    <w:p w14:paraId="1B1E00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8FCA4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результатами аналiзу поданих заяви i пакету документiв 28.06.2024 р. Комiтет з питань нагляду та </w:t>
      </w:r>
      <w:r>
        <w:rPr>
          <w:rFonts w:ascii="Times New Roman CYR" w:hAnsi="Times New Roman CYR" w:cs="Times New Roman CYR"/>
          <w:kern w:val="0"/>
        </w:rPr>
        <w:lastRenderedPageBreak/>
        <w:t>регулювання дiяльностi ринкiв небанкiвських фiнансових послуг НБУ ухвалив рiшення N?21/729-рк "Про надання АКЦIОНЕРНОМУ ТОВАРИСТВУ "СТРАХОВА КОМПАНIЯ "IНГО ЖИТТЯ" дозволу на вихiд з ринку шляхом виконання страхового портфеля та погодження плану виходу з ринку шляхом виконання страхового портфеля".</w:t>
      </w:r>
    </w:p>
    <w:p w14:paraId="3F4D97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EC0256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АТ "СК "IНГО ЖИТТЯ" виконала свої зобов'язання перед клiєнтами та партнерами за договорами страхування та перестрахування згiдно затвердженого регулятором плану. </w:t>
      </w:r>
    </w:p>
    <w:p w14:paraId="4C66E5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27237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Акцiонери компанiї постiйно вiдслiдковують змiни в кон'юнктурi сегменту страхування життя та за наявностi ринкових передумов мають всi можливостi забезпечити повернення на цей ринок протягом короткого перiоду часу.</w:t>
      </w:r>
    </w:p>
    <w:p w14:paraId="12C623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6526E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Повiдомляємо, що процедуру добровiльного виходу з ринку АТ "СК "IНГО ЖИТТЯ" завершено. 2 серпня 2024 року Нацiональний банк України анулював лiцензiю на страхову дiяльнiсть компанiї та виключив її з Державного реєстру фiнансових установ.  </w:t>
      </w:r>
    </w:p>
    <w:p w14:paraId="335B4F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0F892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Це стало результатом рiшення акцiонерiв "IНГО ЖИТТЯ". Вiдповiднi документи на вихiд з ринку шляхом виконання страхового портфеля були поданi до Регулятора, необхiдний дозвiл отримано, усi зобов'язання компанiєю виконано.  </w:t>
      </w:r>
    </w:p>
    <w:p w14:paraId="6B0D216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C7C18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Наш спiльний шлях пiдтверджує, що "IНГО ЖИТТЯ" була надiйним страховим партнером. Ми вдячнi за вашу довiру i пiдтримку протягом всiх цих рокiв. Ми продовжимо цей шлях, оскiльки наш колектив залишається працювати на страховому ринку. Акцiонери компанiї постiйно вiдслiдковують змiни в кон'юнктурi сегменту страхування життя та за наявностi ринкових передумов мають всi можливостi забезпечити повернення на цей ринок протягом короткого перiоду часу.</w:t>
      </w:r>
    </w:p>
    <w:p w14:paraId="1757AE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Генеральний директор </w:t>
      </w:r>
    </w:p>
    <w:p w14:paraId="19DDDE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Тетяна Рижова</w:t>
      </w:r>
    </w:p>
    <w:p w14:paraId="6FBD68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0578C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Інформація про розвиток та вірогідні перспективи подальшого розвитку особи</w:t>
      </w:r>
    </w:p>
    <w:p w14:paraId="49B4B5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Дiяльнiсть Товариства протягом звiтного 2024 року здiйснювалась за неоднозначних полiтичних, макроекономiчних та  мiкроекономiчних  умов,  умов ведення дiяльностi в  досить новому правовому  режимi - режимi воєнного стану, запровадженого в  умовах широкомасштабної збройної агресiї росiї  та в  середовищi  бiзнес  невизначеностi та спрацювання  ризикiв. </w:t>
      </w:r>
    </w:p>
    <w:p w14:paraId="34A2FA0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На дiяльнiсть Товариства в 2024 роцi, вiдображаючи наслiдки повномасштабного вторгнення  росiї  на територiю України мали  суттєвий  негативний вплив:</w:t>
      </w:r>
    </w:p>
    <w:p w14:paraId="6B5E261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-обмеження/заборона щодо здiйснення транскордонних переказiв у  iноземнiй  валютi з проведення розрахункiв та, як наслiдок  втратi довiри та партнерства  контрагентiв:</w:t>
      </w:r>
    </w:p>
    <w:p w14:paraId="15E955B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 перестраховиками нерезидентами - за наданi послуги перестрахування в корпоративному та роздрiбному сегментi.</w:t>
      </w:r>
    </w:p>
    <w:p w14:paraId="338A41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"Пришвидшення рiвня споживчої iнфляцiї, що призвело до послаблення споживчого попиту на портфелеутворюючi послуги страхування серед ритейлового сегменту;</w:t>
      </w:r>
    </w:p>
    <w:p w14:paraId="59FB99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Порушення ланцюгiв постачання, руйнування виробництв, скорочення пропозицiї товарiв та послуг, збiльшення виробничих витрат - призвело до втрати портфелю в  корпоративному страхуваннi;</w:t>
      </w:r>
    </w:p>
    <w:p w14:paraId="243AE8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Пошкодження ракетними обстрiлами енергосистеми - призвело до дефiциту енергоносiїв  та електроенергiї, що уповiльнило процеси з ведення бiзнесу;</w:t>
      </w:r>
    </w:p>
    <w:p w14:paraId="02EB16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Окупацiя територiй  - призвела до втрати частки бiзнесу  реалiзовуваних на зазначених територiях;</w:t>
      </w:r>
    </w:p>
    <w:p w14:paraId="0FD52B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Суттєва цiнова  конкуренцiя;</w:t>
      </w:r>
    </w:p>
    <w:p w14:paraId="7FE187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Тиск регуляторної полiтики та непередбачуваностi в значеннях  макроекономiчних  показникiв;</w:t>
      </w:r>
    </w:p>
    <w:p w14:paraId="0A12CC0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Зниження рiвня дiлової активностi ринку та можливостей для її реалiзацiї; </w:t>
      </w:r>
    </w:p>
    <w:p w14:paraId="0E293E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позачергових Загальних зборах акцiонерiв Акцiонерного товариства "Страхова компанiя "IНГО ЖИТТЯ", що були проведенi 17 червня 2024 року, прийнято наступнi рiшення:</w:t>
      </w:r>
    </w:p>
    <w:p w14:paraId="5F560D1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-здiйснення Товариством добровiльного виходу з ринку шляхом виконання страхового портфеля;</w:t>
      </w:r>
    </w:p>
    <w:p w14:paraId="03405B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-Затвердження плану виконання страхового портфеля, який включає строки виконання такого </w:t>
      </w:r>
      <w:r>
        <w:rPr>
          <w:rFonts w:ascii="Times New Roman CYR" w:hAnsi="Times New Roman CYR" w:cs="Times New Roman CYR"/>
          <w:kern w:val="0"/>
        </w:rPr>
        <w:lastRenderedPageBreak/>
        <w:t>страхового портфелю;</w:t>
      </w:r>
    </w:p>
    <w:p w14:paraId="56FF85E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-Призначення особи, вiдповiдальною за виконання заходiв з добровiльного виходу з ринку шляхом виконання страхового портфелю, пiдписання заяви на отримання дозволу на виконання страхового портфелю та плану виконання страхового портфелю - Рижову Тетяну Сергiївну.</w:t>
      </w:r>
    </w:p>
    <w:p w14:paraId="23C03E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 зазначено рiшення було повiдомлено Нацiональний банк України.</w:t>
      </w:r>
    </w:p>
    <w:p w14:paraId="2139911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позачергових Загальних зборах акцiонерiв Акцiонерного товариства "Страхова компанiя "IНГО ЖИТТЯ", що були проведенi 28 червня 2024 року, прийнято рiшення: у зв'язку iз виконання всiх зобов'язань за договорами страхування (перестрахування) у вiдповiдностi до плану виконання страхового портфеля, складенням регуляторного балансу на дату виконання страхового портфеля - 28.06.2024 року (далi - Звiтнiсть), пiдписанням її уповноваженим представником Товариства та складанням звiту суб'єктом аудиторської дiяльнос</w:t>
      </w:r>
      <w:r>
        <w:rPr>
          <w:rFonts w:ascii="Times New Roman CYR" w:hAnsi="Times New Roman CYR" w:cs="Times New Roman CYR"/>
          <w:kern w:val="0"/>
        </w:rPr>
        <w:t>тi про пiдтвердження її достовiрностi та повноти - затвердити вiдповiдну Звiтнiсть.</w:t>
      </w:r>
    </w:p>
    <w:p w14:paraId="3880C8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 зазначено рiшення було повiдомлено Нацiональний банк України.</w:t>
      </w:r>
    </w:p>
    <w:p w14:paraId="3F9F3E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позачергових Загальних зборах акцiонерiв Акцiонерного товариства "Страхова компанiя "IНГО ЖИТТЯ", що були проведенi 14 серпня 2024 року, прийнято наступнi рiшення: </w:t>
      </w:r>
    </w:p>
    <w:p w14:paraId="5B367A6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Внесенi змiни до повного та скороченого найменування Товариства та затверджено нове повне i скорочене найменування Товариства. Зокрема з 19.08.2024 року:</w:t>
      </w:r>
    </w:p>
    <w:p w14:paraId="5401AB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повне найменування Товариства українською мовою: АКЦIОНЕРНЕ ТОВАРИСТВО "СТРАХОВА КОМПАНIЯ "IНГО ЖИТТЯ" змiнено нна АКЦIОНЕРНЕ ТОВАРИСТВО "ЦЕНТР ФIН СЕРВIС";</w:t>
      </w:r>
    </w:p>
    <w:p w14:paraId="5F0B634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скорочене найменування Товариства українською мовою: АТ "СК "IНГО ЖИТТЯ" змiнено на АТ "ЦЕНТР ФIН СЕРВIС";</w:t>
      </w:r>
    </w:p>
    <w:p w14:paraId="52EC10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Лiквiдовано колегiального виконавчого органу управлiння Товариства - Правлiння.</w:t>
      </w:r>
    </w:p>
    <w:p w14:paraId="453769D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Створено одноособовий виконавчий орган - Директор Товариства.</w:t>
      </w:r>
    </w:p>
    <w:p w14:paraId="79E374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Припинено повноваження складу Правлiння Товариства.</w:t>
      </w:r>
    </w:p>
    <w:p w14:paraId="25FC43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зв'язку iз прийняттям рiшення про лiквiдацiю колегiального виконавчого органу управлiння Товариства - Правлiння, достроково припинити з 18.08.2024 року повноваження складу Правлiння Товариства:  Рижової Тетяни Сергiївни - Голови правлiння та Колiсецької Людмили Олександрiвни - Члена Правлiння.</w:t>
      </w:r>
    </w:p>
    <w:p w14:paraId="59A562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Обрано на посаду Директора Товариства. З 19.08.2024 року Виконуючим обов'язки Директора Товариства обрано Колiсецьку Людмилу Олександрiвну - строком на три роки.</w:t>
      </w:r>
    </w:p>
    <w:p w14:paraId="38C0B0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Внесено змiни до перелiку видiв економiчної дiяльностi (КВЕДiв). Затверджено наступнi види економiчної дiяльностi (КВЕДи):</w:t>
      </w:r>
    </w:p>
    <w:p w14:paraId="533A3D1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66.22  Дiяльнiсть страхових агентiв i брокерiв  </w:t>
      </w:r>
    </w:p>
    <w:p w14:paraId="7C4697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66.21 Оцiнювання ризикiв та завданої шкоди</w:t>
      </w:r>
    </w:p>
    <w:p w14:paraId="3B37F5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66.29 Iнша допомiжна дiяльнiсть у сферi страхування та пенсiйного забезпечення</w:t>
      </w:r>
    </w:p>
    <w:p w14:paraId="6CC72A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68.20 Надання в оренду й експлуатацiю власного чи орендованого нерухомого майна</w:t>
      </w:r>
    </w:p>
    <w:p w14:paraId="2FC1E2E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70.22 Консультування з питань комерцiйної дiяльностi й керування</w:t>
      </w:r>
    </w:p>
    <w:p w14:paraId="3C2B59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73.11 Рекламнi агентства</w:t>
      </w:r>
    </w:p>
    <w:p w14:paraId="661BB8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Внесено змiни до Статуту Товариства та затверджено нову редакцiю Статуту Товариства.</w:t>
      </w:r>
    </w:p>
    <w:p w14:paraId="5072CC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Затверджено "Положення про Загальнi збори акцiонерiв" в новiй редакцiї, затверджено "Положення про Наглядову раду" в новiй редакцiї, затверджено "Положення про Директора".</w:t>
      </w:r>
    </w:p>
    <w:p w14:paraId="5F1B815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02 серпня 2024 року Нацiональним банком України було прийнято рiшення (отримано АТ "СК "IНГО ЖИТТЯ" 05.08.2024 року) про анулювання лiцензiї на здiйснення дiяльностi iз страхування та виключення з Державного реєстру фiнансових установ АТ "СК "IНГО ЖИТТЯ" (ЄДРПОУ 35333145), рiшення було прийнято на пiдставi його заяви. Нацiональний банк України 28.06.2024 року надав АТ "СК "IНГО ЖИТТЯ"дозвiл на вихiд з ринку шляхом виконання страхового портфеля та погодив страховику план виходу з ринку шляхом виконання стра</w:t>
      </w:r>
      <w:r>
        <w:rPr>
          <w:rFonts w:ascii="Times New Roman CYR" w:hAnsi="Times New Roman CYR" w:cs="Times New Roman CYR"/>
          <w:kern w:val="0"/>
        </w:rPr>
        <w:t>хового портфеля. Вiдповiдне рiшення було ухвалене Комiтетом з питань нагляду та регулювання дiяльностi ринкiв небанкiвських фiнансових послуг 02 серпня 2024 року.</w:t>
      </w:r>
    </w:p>
    <w:p w14:paraId="3D3EE89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Вiдповiдно до Закону України "Про бухгалтерський облiк та фiнансову звiтнiсть в Українi" пiдприємства, що становлять суспiльний iнтерес, - пiдприємства - емiтенти цiнних паперiв, цiннi папери яких допущенi до торгiв на регульованому ринку капiталу або щодо цiнних паперiв яких здiйснено публiчну пропозицiю, банки, страховики, недержавнi пенсiйнi фо</w:t>
      </w:r>
      <w:r>
        <w:rPr>
          <w:rFonts w:ascii="Times New Roman CYR" w:hAnsi="Times New Roman CYR" w:cs="Times New Roman CYR"/>
          <w:kern w:val="0"/>
        </w:rPr>
        <w:t xml:space="preserve">нди, iншi фiнансовi установи (крiм </w:t>
      </w:r>
      <w:r>
        <w:rPr>
          <w:rFonts w:ascii="Times New Roman CYR" w:hAnsi="Times New Roman CYR" w:cs="Times New Roman CYR"/>
          <w:kern w:val="0"/>
        </w:rPr>
        <w:lastRenderedPageBreak/>
        <w:t xml:space="preserve">iнших фiнансових установ та недержавних пенсiйних фондiв, що належать до мiкропiдприємств та малих пiдприємств) та пiдприємства, якi вiдповiдно до цього Закону належать до великих пiдприємств. </w:t>
      </w:r>
    </w:p>
    <w:p w14:paraId="316CA7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Враховуючи вищенаведене, АТ "СК "IНГО ЖИТТЯ" втратило статус фiнансової компанiї - страховика, а також вiдбулась втрата статусу пiдприємства, що становить суспiльний iнтерес.</w:t>
      </w:r>
    </w:p>
    <w:p w14:paraId="307580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Процедуру добровiльного виходу з ринку АТ "СК "IНГО ЖИТЯТ" - завершено.</w:t>
      </w:r>
    </w:p>
    <w:p w14:paraId="26C72F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2690C0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2FFB4C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36C7D5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Вiдповiдно до норм страхового законодавства, фiнансова установа має працювати  в суворо регуляторному середовищi, створеному  регулятором. Тому, протягом 2024 року Товариством не вчинялося  правочинiв щодо похiдних цiнних паперiв, якi впливають на оцiнку активiв, зобов`язань, фiнансового стану i доходiв/витрат. </w:t>
      </w:r>
    </w:p>
    <w:p w14:paraId="2B61A4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BFE7D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4D1393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Полiтика Товариства з управлiння ризиками побудована у вiдповiдностi Директиви ЕС Solvency II, базується на дiючих в Українi стандартах МСФО в галузi страхування. Основою полiтики є: iдентифiкацiя, вiдстеження, вивчення, застереження, запобiгання швидкiй нейтралiзацiї впливу та наслiдкiв (рiзноманiтними методами та iнструментами) виникнення ризикiв. Особливу увагу Полiтика управлiння ризикiв придiляє можливим ознакам виникнення  фiнансових ризикiв (ринковий ризик, ризик лiквiдностi, кредитний ризик) та має</w:t>
      </w:r>
      <w:r>
        <w:rPr>
          <w:rFonts w:ascii="Times New Roman CYR" w:hAnsi="Times New Roman CYR" w:cs="Times New Roman CYR"/>
          <w:kern w:val="0"/>
        </w:rPr>
        <w:t xml:space="preserve"> на метi звести їх та їх наслiдки для результатiв роботи Товариства до мiнiмуму.  </w:t>
      </w:r>
    </w:p>
    <w:p w14:paraId="030177D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Згiдно Наказу №54 вiд 17.11.2017 року затверджено вiдповiдального за оцiнку ризикiв.</w:t>
      </w:r>
    </w:p>
    <w:p w14:paraId="6A604F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Система управлiння ризиками включає в себе наступнi процедури:</w:t>
      </w:r>
    </w:p>
    <w:p w14:paraId="0BDD53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iдентифiкацiя ризику;</w:t>
      </w:r>
    </w:p>
    <w:p w14:paraId="44C700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облiк i оцiнка ризикiв;</w:t>
      </w:r>
    </w:p>
    <w:p w14:paraId="216510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монiторинг ризику;</w:t>
      </w:r>
    </w:p>
    <w:p w14:paraId="3D416F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управлiння ризиками та монiторинг реалiзацiї заходiв iз управлiння ризиками;</w:t>
      </w:r>
    </w:p>
    <w:p w14:paraId="126C8B3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звiтування, iнформацiя та комунiкацiя;</w:t>
      </w:r>
    </w:p>
    <w:p w14:paraId="692647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навчання спiвробiтникiв в рамках впровадження системи управлiння ризиками.</w:t>
      </w:r>
    </w:p>
    <w:p w14:paraId="7C91D7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У АТ "СК "IНГО  ЖИТТЯ" застосовуються чотири способи управлiння ризиками з метою нiвелювання їх впливу на дiяльнiсть Товариства:</w:t>
      </w:r>
    </w:p>
    <w:p w14:paraId="01F25B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зниження та контроль ризику - здiйснення дiй щодо зниження ймовiрностi або впливу ризику; </w:t>
      </w:r>
    </w:p>
    <w:p w14:paraId="49BDFB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передача ризику - передача потенцiйних збиткiв, пов'язаних з ризиком, третiй сторонi, що володiє можливiстю контролювати даний ризик. Прикладами таких дiй може служити передача ризику в перестрахування;</w:t>
      </w:r>
    </w:p>
    <w:p w14:paraId="18758E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прийняття ризику - не проводиться нiяких додаткових дiй щодо зниження ризику, здiйснюється монiторинг його значимостi; </w:t>
      </w:r>
    </w:p>
    <w:p w14:paraId="70D993B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прийняття ризику можливо тiльки в тому випадку, якщо вiн не перевищує визначений у Товариства ризик-апетит; </w:t>
      </w:r>
    </w:p>
    <w:p w14:paraId="660417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прийняття ризику, що перевищує ризик-апетит Товариства, можливо тiльки за рiшенням Генерального директора;</w:t>
      </w:r>
    </w:p>
    <w:p w14:paraId="4604F7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уникнення ризику - повне припинення дiяльностi, що призводить до ризику.</w:t>
      </w:r>
    </w:p>
    <w:p w14:paraId="478BC6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Станом на 31.12.2024 року всi ризики мають вплив на дiяльнiсть Товариства, але їх рiвень впливу контролюється ним.</w:t>
      </w:r>
    </w:p>
    <w:p w14:paraId="5856828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Товариством контролюється наступнi класи ризикiв, якi здатнi впливати на дiяльнiсть:</w:t>
      </w:r>
    </w:p>
    <w:p w14:paraId="09DB8AD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Андерайтинговi ризики - ризики, пов'язанi iз укладанням договорiв страхування:</w:t>
      </w:r>
    </w:p>
    <w:p w14:paraId="466AC46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збiльшення рiвня смертностi - ризик, викликаний коливанням показникiв смертностi, у разi, якщо зростання показникiв смертностi призводить до зростання вартостi зобов'язань Товариства;</w:t>
      </w:r>
    </w:p>
    <w:p w14:paraId="08FDA34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Ризик збiльшення тривалостi життя - ризик, викликаний коливанням показникiв смертностi, у разi, якщо спадання показникiв смертностi призводить до зростання вартостi зобов'язань Товариства;</w:t>
      </w:r>
    </w:p>
    <w:p w14:paraId="056C7D1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непрацездатностi та шкоди здоров'ю - ризик, викликаний коливанням показникiв тимчасової втрати працездатностi, встановлення iнвалiдностi або отримання травматичних ушкоджень та/або функцiональних розладiв здоров'я;</w:t>
      </w:r>
    </w:p>
    <w:p w14:paraId="2E07564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збiльшення витрат на ведення справи - ризик, викликаний зростанням видаткiв, пов'язаних з обслуговуванням договорiв страхування та перестрахування;</w:t>
      </w:r>
    </w:p>
    <w:p w14:paraId="6A8514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катастроф - ризик, викликаний неточнiстю прогнозiв настання надзвичайних подiй та оцiнок їх наслiдкiв;</w:t>
      </w:r>
    </w:p>
    <w:p w14:paraId="0E77A7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розiрвання договорiв - ризик, викликаний коливаннями спiввiдношення кiлькостi достроково припинених договорiв страхування до загальної кiлькостi укладених договорiв.</w:t>
      </w:r>
    </w:p>
    <w:p w14:paraId="1F67E4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Ринковi ризики - ризики, пов'язанi зi зовнiшнiм середовищем i ринками, на яких працює Товариство, якi можуть призвести до змiни ринкової вартостi фiнансових iнструментiв або змiни в ринкових iндикаторах, що можуть вплинути на величину активiв та/або зобов'язань Страховика;</w:t>
      </w:r>
    </w:p>
    <w:p w14:paraId="6FBC71F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Ризик iнвестицiй в акцiї - ризик, пов'язаний iз чутливiстю вартостi активiв, зобов'язань та фiнансових iнструментiв страховика до коливання ринкової вартостi акцiй; </w:t>
      </w:r>
    </w:p>
    <w:p w14:paraId="2B6E49D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процентної ставки - ризик, пов'язаний iз чутливiстю вартостi активiв та зобов'язань страховика до коливання вартостi позикових коштiв;</w:t>
      </w:r>
    </w:p>
    <w:p w14:paraId="4113568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Валютний ризик - ризик, пов'язаний iз чутливiстю вартостi активiв та зобов'язань страховика до коливання курсiв обмiну валют;</w:t>
      </w:r>
    </w:p>
    <w:p w14:paraId="1DEA82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спреду - ризик, пов'язаний iз чутливiстю активiв та зобов'язань страховика до коливання рiзницi в доходностi мiж облiгацiями пiдприємств та державних облiгацiй України з тим самим (або близьким) термiном до погашення;</w:t>
      </w:r>
    </w:p>
    <w:p w14:paraId="48A900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Майновий ризик - ризик, пов'язаний iз чутливiстю вартостi активiв та зобов'язань страховика до коливання ринкових цiн на нерухомiсть;</w:t>
      </w:r>
    </w:p>
    <w:p w14:paraId="1694CFF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ринкової концентрацiї - ризик, пов'язаний iз недостатньою диверсифiкованiстю портфеля активiв або у зв'язку зi значним впливом одного або кiлькох емiтентiв цiнних паперiв на стан активiв.</w:t>
      </w:r>
    </w:p>
    <w:p w14:paraId="65FA66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Ризики дефолту контрагента - ризик неспроможностi контрагента (перестраховика, боржника та будь-якого дебiтора) виконати взятi на себе будь-якi договiрнi зобов'язання перед страховиком;</w:t>
      </w:r>
    </w:p>
    <w:p w14:paraId="524BA7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невиконання  своїх зобов'язань Страхувальником/Перестрахувальником - ризик невиконання Страхувальника/Перестрахувальника взятих на себе будь-яких договiрних зобов'язань перед Товариством;</w:t>
      </w:r>
    </w:p>
    <w:p w14:paraId="3B65E10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невиконання  своїх зобов'язань Перестраховиком - ризик невиконання Перестраховиком взятих на себе будь-яких договiрних зобов'язань перед Товариством;</w:t>
      </w:r>
    </w:p>
    <w:p w14:paraId="4E7753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невиконання  своїх зобов'язань iнших договiрних сторiн - ризик невиконання iнших договiрних сторiн взятих на себе будь-яких договiрних зобов'язань перед Товариством.</w:t>
      </w:r>
    </w:p>
    <w:p w14:paraId="52C6E8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Операцiйнi ризики - ризик фiнансових втрат страховика, що виникає через недолiки управлiння, процесiв оброблення iнформацiї, контрольованостi, безперервностi роботи, надiйностi технологiй, а також помилки та несанкцiонованi дiї персоналу;</w:t>
      </w:r>
    </w:p>
    <w:p w14:paraId="33D1CFF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персоналу - ризик фiнансових втрат Товариства, що виникає через помилки та несанкцiонованi дiї персоналу;</w:t>
      </w:r>
    </w:p>
    <w:p w14:paraId="1324E8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Iнформацiйний ризик - ризик фiнансових втрат страховика, що виникає в результатi недолiкiв надiйностi технологiй;</w:t>
      </w:r>
    </w:p>
    <w:p w14:paraId="0A044D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Органiзацiйний ризик - ризик фiнансових втрат страховика, що виникає через недолiки управлiння, недосконалiсть бiзнес процесiв;</w:t>
      </w:r>
    </w:p>
    <w:p w14:paraId="621D19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фiзичних втручання - ризик пошкодження матерiальних активiв у результатi стихiйних лих, пожеж, крадiжки, тероризму та iншого.</w:t>
      </w:r>
    </w:p>
    <w:p w14:paraId="1179C7A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Правовий ризик - ризик втрат в результатi недотримання закону, ризик судових розглядiв.</w:t>
      </w:r>
    </w:p>
    <w:p w14:paraId="07EC86D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Ризики учасника фiнансової групи - ризик негативного впливу на фiнансовий стан страховика-учасника фiнансової групи, викликаний погiршенням фiнансового стану iншого учасника групи, до складу якої входить страховик.</w:t>
      </w:r>
    </w:p>
    <w:p w14:paraId="17FCC8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 лiквiдностi - ризик неспроможностi страховика реалiзувати активи для погашення зобов'язань точно на момент настання строку погашення.</w:t>
      </w:r>
    </w:p>
    <w:p w14:paraId="5797844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Репутацiйний ризик - ризик фiнансових втрат страховика, що виникає через недовiру ринка до якостi послуг Товариства. </w:t>
      </w:r>
    </w:p>
    <w:p w14:paraId="6ABA077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31.12.2024 року всi ризики, що контролюється Страховиком, не потребують мiнiмiзацiї та/або пом'якшення їх наслiдкiв.</w:t>
      </w:r>
    </w:p>
    <w:p w14:paraId="7DBCFCC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63A40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3B614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Схильність особи до цінових ризиків, кредитного ризику, ризику ліквідності та/або ризику грошових потоків</w:t>
      </w:r>
    </w:p>
    <w:p w14:paraId="4B3B281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31.12.2023 року всi ризики мають вплив на дiяльнiсть Товариства, але  їх рiвень впливу контролюється   ним. Зважена Полiтика Товариства щодо управлiння портфелями  ризикiв дає можливiсть уникати суттєвого впливу  цiнового ризику, кредитного ризику, ризику лiквiдностi. </w:t>
      </w:r>
    </w:p>
    <w:p w14:paraId="377DC98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FAA263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D8855A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224AF3D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1) звіт про корпоративне управління</w:t>
      </w:r>
    </w:p>
    <w:p w14:paraId="307A131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14:paraId="563A4C5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158F85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кодекс корпоративного управління, яким керується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6000"/>
      </w:tblGrid>
      <w:tr w:rsidR="00000000" w14:paraId="41C238A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3DF940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6000" w:type="dxa"/>
            <w:tcBorders>
              <w:top w:val="single" w:sz="6" w:space="0" w:color="auto"/>
              <w:left w:val="single" w:sz="6" w:space="0" w:color="auto"/>
              <w:bottom w:val="single" w:sz="6" w:space="0" w:color="auto"/>
            </w:tcBorders>
            <w:vAlign w:val="center"/>
          </w:tcPr>
          <w:p w14:paraId="1E190AD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Прийнято рішення про застосування іншого кодексу</w:t>
            </w:r>
          </w:p>
        </w:tc>
      </w:tr>
      <w:tr w:rsidR="00000000" w14:paraId="6CEFA66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5303D7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Назва органу управління, яким прийнято рішення про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14:paraId="55710C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Загальнi збори акцiонерiв </w:t>
            </w:r>
          </w:p>
        </w:tc>
      </w:tr>
      <w:tr w:rsidR="00000000" w14:paraId="473F4C2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40D07F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прийняття рішення щодо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14:paraId="19C21F8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19.03.2020</w:t>
            </w:r>
          </w:p>
        </w:tc>
      </w:tr>
      <w:tr w:rsidR="00000000" w14:paraId="7E421E8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6259B8D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з текстом кодексу</w:t>
            </w:r>
          </w:p>
        </w:tc>
        <w:tc>
          <w:tcPr>
            <w:tcW w:w="6000" w:type="dxa"/>
            <w:tcBorders>
              <w:top w:val="single" w:sz="6" w:space="0" w:color="auto"/>
              <w:left w:val="single" w:sz="6" w:space="0" w:color="auto"/>
              <w:bottom w:val="single" w:sz="6" w:space="0" w:color="auto"/>
            </w:tcBorders>
            <w:vAlign w:val="center"/>
          </w:tcPr>
          <w:p w14:paraId="27157B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bl>
    <w:p w14:paraId="499A12C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36CF78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1500"/>
        <w:gridCol w:w="4500"/>
      </w:tblGrid>
      <w:tr w:rsidR="00000000" w14:paraId="41723E2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505515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1500" w:type="dxa"/>
            <w:tcBorders>
              <w:top w:val="single" w:sz="6" w:space="0" w:color="auto"/>
              <w:left w:val="single" w:sz="6" w:space="0" w:color="auto"/>
              <w:bottom w:val="single" w:sz="6" w:space="0" w:color="auto"/>
              <w:right w:val="single" w:sz="6" w:space="0" w:color="auto"/>
            </w:tcBorders>
            <w:vAlign w:val="center"/>
          </w:tcPr>
          <w:p w14:paraId="6B1A76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14:paraId="71400E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Опис наявної практики/обґрунтування відхилення</w:t>
            </w:r>
          </w:p>
        </w:tc>
      </w:tr>
      <w:tr w:rsidR="00000000" w14:paraId="09B25A99"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6C61F79"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Цілі особи</w:t>
            </w:r>
          </w:p>
        </w:tc>
      </w:tr>
      <w:tr w:rsidR="00000000" w14:paraId="3F4EF7C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A4A59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14:paraId="3163EC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17410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створене з метою здiйснення </w:t>
            </w:r>
          </w:p>
          <w:p w14:paraId="3CB5C5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пiдприємницької дiяльностi для </w:t>
            </w:r>
          </w:p>
          <w:p w14:paraId="2458DE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одержання прибутку шляхом надання </w:t>
            </w:r>
          </w:p>
          <w:p w14:paraId="004F637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послуг з особистого страхування, а саме: </w:t>
            </w:r>
          </w:p>
          <w:p w14:paraId="00A7E2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захисту майнових iнтересiв фiзичних </w:t>
            </w:r>
          </w:p>
          <w:p w14:paraId="43AD69B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осiб, пов'язаних з життям, здоров'ям, </w:t>
            </w:r>
          </w:p>
          <w:p w14:paraId="6EBD81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працездатнiстю та пенсiйним </w:t>
            </w:r>
          </w:p>
          <w:p w14:paraId="770C16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забезпеченням, через вiдшкодування </w:t>
            </w:r>
          </w:p>
          <w:p w14:paraId="25C728D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шкоди у разi настання страхових </w:t>
            </w:r>
          </w:p>
          <w:p w14:paraId="647707A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випадкiв за рахунок грошових фондiв, </w:t>
            </w:r>
          </w:p>
          <w:p w14:paraId="456CED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що формуються шляхом сплати ними </w:t>
            </w:r>
          </w:p>
          <w:p w14:paraId="7ED6A5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страхових платежiв (страхових внескiв, </w:t>
            </w:r>
          </w:p>
          <w:p w14:paraId="0BA3F62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страхових премiй), а також здiйснення </w:t>
            </w:r>
          </w:p>
          <w:p w14:paraId="2C27FF7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фiнансової та iнвестицiйної дiяльностi, в </w:t>
            </w:r>
          </w:p>
          <w:p w14:paraId="1580D1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порядку та в межах, визначених чинним </w:t>
            </w:r>
          </w:p>
          <w:p w14:paraId="09E193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законодавством України та Статутом. </w:t>
            </w:r>
          </w:p>
          <w:p w14:paraId="2DD163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Предметом дiяльностi Товариства є </w:t>
            </w:r>
          </w:p>
          <w:p w14:paraId="54E9EDA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страхування життя, дiяльнiсть, пов'язана </w:t>
            </w:r>
          </w:p>
          <w:p w14:paraId="2D4E87D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 формуванням, розмiщенням страхових </w:t>
            </w:r>
          </w:p>
          <w:p w14:paraId="38BE261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резервiв та їх управлiнням, в тому числi </w:t>
            </w:r>
          </w:p>
          <w:p w14:paraId="71C7F1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виглядi надання послуг для iнших </w:t>
            </w:r>
          </w:p>
          <w:p w14:paraId="1E94678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страховикiв на пiдставi укладених </w:t>
            </w:r>
          </w:p>
          <w:p w14:paraId="3E55152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цивiльно-правових угод, надання послуг </w:t>
            </w:r>
          </w:p>
          <w:p w14:paraId="6118D1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робiт), якщо це </w:t>
            </w:r>
          </w:p>
          <w:p w14:paraId="101CC58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безпосередньо пов'язано iз зазначеними </w:t>
            </w:r>
          </w:p>
          <w:p w14:paraId="3AD25EE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видами дiяльностi, а також будь-якi </w:t>
            </w:r>
          </w:p>
          <w:p w14:paraId="33907B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операцiї для забезпечення власних </w:t>
            </w:r>
          </w:p>
          <w:p w14:paraId="48D4EED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господарських потреб.</w:t>
            </w:r>
          </w:p>
          <w:p w14:paraId="2BDC58F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09D4090C"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383FED5"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2. Акціонери та стейкхолдери</w:t>
            </w:r>
          </w:p>
        </w:tc>
      </w:tr>
      <w:tr w:rsidR="00000000" w14:paraId="53E2DFB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66BD8C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14:paraId="1267B5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F981DD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 брати участь в управлiннi </w:t>
            </w:r>
          </w:p>
          <w:p w14:paraId="79BC99B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(в тому числi, через участь </w:t>
            </w:r>
          </w:p>
          <w:p w14:paraId="5361E39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 голосування на Загальних Зборах </w:t>
            </w:r>
          </w:p>
          <w:p w14:paraId="6D63DC4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особисто або через своїх представникiв) </w:t>
            </w:r>
          </w:p>
          <w:p w14:paraId="2B07AA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порядку, визначеному Статутом та </w:t>
            </w:r>
          </w:p>
          <w:p w14:paraId="601574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законом; 2) одержувати iнформацiю про </w:t>
            </w:r>
          </w:p>
          <w:p w14:paraId="321F35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дiяльнiсть Товариства; 3) брати участь у </w:t>
            </w:r>
          </w:p>
          <w:p w14:paraId="7251CE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розподiлi прибутку Товариства та </w:t>
            </w:r>
          </w:p>
          <w:p w14:paraId="477EE7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отримувати його частину (дивiденди); 4) </w:t>
            </w:r>
          </w:p>
          <w:p w14:paraId="6A7686D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вiдчужувати належнi їм акцiї без згоди </w:t>
            </w:r>
          </w:p>
          <w:p w14:paraId="601F4D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iнших акцiонерiв Товариства; 5) </w:t>
            </w:r>
          </w:p>
          <w:p w14:paraId="2BF3DD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реалiзовувати переважне право щодо </w:t>
            </w:r>
          </w:p>
          <w:p w14:paraId="4591209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розмiщуваних Товариством пiд час </w:t>
            </w:r>
          </w:p>
          <w:p w14:paraId="6B9D46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додаткової емiсiї акцiй простих iменних </w:t>
            </w:r>
          </w:p>
          <w:p w14:paraId="0B976B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акцiй у порядку, який встановлений </w:t>
            </w:r>
          </w:p>
          <w:p w14:paraId="4B05CF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чинним законодавством України, якщо </w:t>
            </w:r>
          </w:p>
          <w:p w14:paraId="39047B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Загальними зборами не буде прийнято </w:t>
            </w:r>
          </w:p>
          <w:p w14:paraId="7BF2524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рiшення про невикористання такого </w:t>
            </w:r>
          </w:p>
          <w:p w14:paraId="1A4C625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права у порядку, встановленому чинним </w:t>
            </w:r>
          </w:p>
          <w:p w14:paraId="7F655B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w:t>
            </w:r>
            <w:r>
              <w:rPr>
                <w:rFonts w:ascii="Times New Roman CYR" w:hAnsi="Times New Roman CYR" w:cs="Times New Roman CYR"/>
                <w:kern w:val="0"/>
              </w:rPr>
              <w:t xml:space="preserve">аконодавством України; 6) отримувати </w:t>
            </w:r>
          </w:p>
          <w:p w14:paraId="6E770A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разi лiквiдацiї Товариства частину його </w:t>
            </w:r>
          </w:p>
          <w:p w14:paraId="67DC3E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майна або вартостi частини майна </w:t>
            </w:r>
          </w:p>
          <w:p w14:paraId="0767E2F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7) обирати та бути обраними </w:t>
            </w:r>
          </w:p>
          <w:p w14:paraId="377C07A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 Наглядової ради, iнших органiв </w:t>
            </w:r>
          </w:p>
          <w:p w14:paraId="2C3DB8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8) реалiзовувати iншi права, </w:t>
            </w:r>
          </w:p>
          <w:p w14:paraId="56CDA18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встановленi Статутом та чинним </w:t>
            </w:r>
          </w:p>
          <w:p w14:paraId="29B9B1B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законодавством України</w:t>
            </w:r>
          </w:p>
        </w:tc>
      </w:tr>
      <w:tr w:rsidR="00000000" w14:paraId="60A5032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1AD58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14:paraId="3227465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7C236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Кожна проста iменна акцiя надає Акцiонеру - її власнику однакову  сукупнiсть прав</w:t>
            </w:r>
          </w:p>
        </w:tc>
      </w:tr>
      <w:tr w:rsidR="00000000" w14:paraId="350DD905"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3577192E"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загальні збори акціонерів</w:t>
            </w:r>
          </w:p>
        </w:tc>
      </w:tr>
      <w:tr w:rsidR="00000000" w14:paraId="54BEE97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F4B70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w:t>
            </w:r>
            <w:r>
              <w:rPr>
                <w:rFonts w:ascii="Times New Roman CYR" w:hAnsi="Times New Roman CYR" w:cs="Times New Roman CYR"/>
                <w:kern w:val="0"/>
              </w:rPr>
              <w:lastRenderedPageBreak/>
              <w:t>дати їх проведення</w:t>
            </w:r>
          </w:p>
        </w:tc>
        <w:tc>
          <w:tcPr>
            <w:tcW w:w="1500" w:type="dxa"/>
            <w:tcBorders>
              <w:top w:val="single" w:sz="6" w:space="0" w:color="auto"/>
              <w:left w:val="single" w:sz="6" w:space="0" w:color="auto"/>
              <w:bottom w:val="single" w:sz="6" w:space="0" w:color="auto"/>
              <w:right w:val="single" w:sz="6" w:space="0" w:color="auto"/>
            </w:tcBorders>
          </w:tcPr>
          <w:p w14:paraId="3C25F1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16B2644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Акцiонери Товариства</w:t>
            </w:r>
          </w:p>
        </w:tc>
      </w:tr>
      <w:tr w:rsidR="00000000" w14:paraId="04F6675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B10427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79D3AC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895091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Пiд час пiдбору кандидатiв на посади до </w:t>
            </w:r>
          </w:p>
          <w:p w14:paraId="188AD53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складу органiв управлiння Товариства </w:t>
            </w:r>
          </w:p>
          <w:p w14:paraId="212307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обов'язково здiйснюється аналiз та </w:t>
            </w:r>
          </w:p>
          <w:p w14:paraId="57E00BD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перевiрка кандидатiв щодо наявностi </w:t>
            </w:r>
          </w:p>
          <w:p w14:paraId="493399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професiйного досвiду та бездоганної </w:t>
            </w:r>
          </w:p>
          <w:p w14:paraId="5B9BD9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дiлової репутацiї.</w:t>
            </w:r>
          </w:p>
        </w:tc>
      </w:tr>
      <w:tr w:rsidR="00000000" w14:paraId="3AE7331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BE762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14:paraId="76B5DA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99355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Дистанцiйнi загальнi збори не </w:t>
            </w:r>
          </w:p>
          <w:p w14:paraId="643C29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передбачають спiльної присутностi на </w:t>
            </w:r>
          </w:p>
          <w:p w14:paraId="731DDFC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них акцiонерiв (їх представникiв) та </w:t>
            </w:r>
          </w:p>
          <w:p w14:paraId="5C1F3B8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проводяться шляхом дистанцiйного </w:t>
            </w:r>
          </w:p>
          <w:p w14:paraId="353C4A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заповнення бюлетенiв акцiонерами i </w:t>
            </w:r>
          </w:p>
          <w:p w14:paraId="650C2F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надсилання їх до Товариства через </w:t>
            </w:r>
          </w:p>
          <w:p w14:paraId="1F88BD2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депозитарну систему України у порядку, </w:t>
            </w:r>
          </w:p>
          <w:p w14:paraId="5BCCD9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встановленому чинним законодавством </w:t>
            </w:r>
          </w:p>
          <w:p w14:paraId="5CB3AD8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України.</w:t>
            </w:r>
          </w:p>
          <w:p w14:paraId="7414A6E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очних Загальних Зборах акцiонер має </w:t>
            </w:r>
          </w:p>
          <w:p w14:paraId="5754A3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право брати участь дистанцiйно через </w:t>
            </w:r>
          </w:p>
          <w:p w14:paraId="650776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авторизовану електронну систему. У </w:t>
            </w:r>
          </w:p>
          <w:p w14:paraId="6A6AA0D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такому разi акцiонеру забезпечується </w:t>
            </w:r>
          </w:p>
          <w:p w14:paraId="17AA29A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можливiсть участi в обговореннi питань </w:t>
            </w:r>
          </w:p>
          <w:p w14:paraId="760CF70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порядку денного.</w:t>
            </w:r>
          </w:p>
          <w:p w14:paraId="6A6DE8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Порядок ознайомлення акцiонерiв з </w:t>
            </w:r>
          </w:p>
          <w:p w14:paraId="157A03C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матерiалами, з якими вони можуть </w:t>
            </w:r>
          </w:p>
          <w:p w14:paraId="04EE9D0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ознайомитися пiд час пiдготовки до </w:t>
            </w:r>
          </w:p>
          <w:p w14:paraId="510B5CA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Загальних Зборiв, включаючи визначене </w:t>
            </w:r>
          </w:p>
          <w:p w14:paraId="3BED57B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мiсце для ознайомлення (номер кiмнати, </w:t>
            </w:r>
          </w:p>
          <w:p w14:paraId="1B4AEF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офiсу тощо) та посадова особа </w:t>
            </w:r>
          </w:p>
          <w:p w14:paraId="24CF40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(у разi скликання Загальних </w:t>
            </w:r>
          </w:p>
          <w:p w14:paraId="3DDCC3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Зборiв акцiонерами - особа, визначена </w:t>
            </w:r>
          </w:p>
          <w:p w14:paraId="594C98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такими акцiонерами), вiдповiдальна за </w:t>
            </w:r>
          </w:p>
          <w:p w14:paraId="6A7C6A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порядок ознайомлення акцiонерiв з </w:t>
            </w:r>
          </w:p>
          <w:p w14:paraId="41FBE85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документами зазначаються у </w:t>
            </w:r>
          </w:p>
          <w:p w14:paraId="780CC6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повiдомленнi про проведення Загальних </w:t>
            </w:r>
          </w:p>
          <w:p w14:paraId="1D1FF4A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Зборiв.</w:t>
            </w:r>
          </w:p>
          <w:p w14:paraId="6DFA6AF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705BA5F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29FE8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5BB1D1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FC269A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 Товариствi вiдсутня заборона брати участь у рiчних загальних зборах Генеральному директору, наглядової ради та зовнiшньому аудитору. У разi необхiдностi посадовi особи та/або зовнiшнiй аудитор запрошуються на загальнi збори.</w:t>
            </w:r>
          </w:p>
        </w:tc>
      </w:tr>
      <w:tr w:rsidR="00000000" w14:paraId="72F8AD9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6FB22C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14:paraId="6B7277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15C547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Акцiонери, якi беруть участь в загальних </w:t>
            </w:r>
          </w:p>
          <w:p w14:paraId="6E21E26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зборах акцiонерiв, мають можливiсть </w:t>
            </w:r>
          </w:p>
          <w:p w14:paraId="24F75C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ставити уснi/письмовi запитання </w:t>
            </w:r>
          </w:p>
          <w:p w14:paraId="40A7D84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стосовно питань порядку денного i </w:t>
            </w:r>
          </w:p>
          <w:p w14:paraId="022225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отримувати вiдповiдi на них.</w:t>
            </w:r>
          </w:p>
        </w:tc>
      </w:tr>
      <w:tr w:rsidR="00000000" w14:paraId="27A32E1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929A6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14:paraId="5DD7D43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BF669E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Регламент проведення загальних зборiв </w:t>
            </w:r>
          </w:p>
          <w:p w14:paraId="774A78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визначено у Положеннi про загальнi </w:t>
            </w:r>
          </w:p>
          <w:p w14:paraId="7EF5D53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збори акцiонерiв вiдповiдно до статтi 52 </w:t>
            </w:r>
          </w:p>
          <w:p w14:paraId="3801CED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Закону України "Про акцiонернi </w:t>
            </w:r>
          </w:p>
          <w:p w14:paraId="3868CD9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товариства".</w:t>
            </w:r>
          </w:p>
        </w:tc>
      </w:tr>
      <w:tr w:rsidR="00000000" w14:paraId="0A54BEE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A2CBA5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0F68BF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D63E76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Протокол загальних зборiв протягом 5 </w:t>
            </w:r>
          </w:p>
          <w:p w14:paraId="2CB068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(п'яти) робочих днiв з дня його </w:t>
            </w:r>
          </w:p>
          <w:p w14:paraId="06B818A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складення, але не пiзнiше 10 (десяти) </w:t>
            </w:r>
          </w:p>
          <w:p w14:paraId="5F96DD1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днiв з дати проведення загальних зборiв, </w:t>
            </w:r>
          </w:p>
          <w:p w14:paraId="39ABAE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розмiщується на вебсайтi Товариства.</w:t>
            </w:r>
          </w:p>
        </w:tc>
      </w:tr>
      <w:tr w:rsidR="00000000" w14:paraId="1C2C1A1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02C6FA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73C4E5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3A3C0E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r w:rsidR="00000000" w14:paraId="6888C17D"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62F1925C"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2) взаємодія з акціонерами</w:t>
            </w:r>
          </w:p>
        </w:tc>
      </w:tr>
      <w:tr w:rsidR="00000000" w14:paraId="0522DD0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173D21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14:paraId="334FBB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14EA8CA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Положення про корпоративного секретаря</w:t>
            </w:r>
          </w:p>
        </w:tc>
      </w:tr>
      <w:tr w:rsidR="00000000" w14:paraId="0975A0F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58620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14:paraId="25A40D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1A6722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Корпоративний секретар </w:t>
            </w:r>
          </w:p>
        </w:tc>
      </w:tr>
      <w:tr w:rsidR="00000000" w14:paraId="1618D3FA"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0AD5EC1"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поглинання</w:t>
            </w:r>
          </w:p>
        </w:tc>
      </w:tr>
      <w:tr w:rsidR="00000000" w14:paraId="6BA622B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188EAB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визначено принципи, як вона діятиме у разі пропозиції щодо поглинання, зокрема:</w:t>
            </w:r>
          </w:p>
          <w:p w14:paraId="0CA0A1F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не вчиняти дії щодо протидії поглинанню без відповідного рішення загальних зборів;</w:t>
            </w:r>
          </w:p>
          <w:p w14:paraId="097172A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надавати акціонерам збалансований аналіз недоліків і переваг будь-якої пропозиції щодо поглинання;</w:t>
            </w:r>
          </w:p>
          <w:p w14:paraId="6048D4F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14:paraId="651F3F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AE36CE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д/в</w:t>
            </w:r>
          </w:p>
          <w:p w14:paraId="01D536D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1AC12375"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F8F6276"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 xml:space="preserve">4) інші стейкхолдери </w:t>
            </w:r>
          </w:p>
        </w:tc>
      </w:tr>
      <w:tr w:rsidR="00000000" w14:paraId="1863C10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E7A0A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14:paraId="2AE390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73A733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Положення про корпоративного секретаря.</w:t>
            </w:r>
          </w:p>
        </w:tc>
      </w:tr>
      <w:tr w:rsidR="00000000" w14:paraId="0C2202F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5F109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14:paraId="4B0D0D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EC84DA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вiдповiдно до статтi 36 Закону України "Про страхування", </w:t>
            </w:r>
          </w:p>
          <w:p w14:paraId="75572D8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сформовано перелiк пов'язаних осiб.</w:t>
            </w:r>
          </w:p>
          <w:p w14:paraId="2C7B2A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3A451AD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FD7E9A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14:paraId="692BD9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2524C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д/в</w:t>
            </w:r>
          </w:p>
        </w:tc>
      </w:tr>
      <w:tr w:rsidR="00000000" w14:paraId="4846E552"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8232B75"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Наглядова рада</w:t>
            </w:r>
          </w:p>
        </w:tc>
      </w:tr>
      <w:tr w:rsidR="00000000" w14:paraId="6E40F01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2D84F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14:paraId="1F5BDF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2A7D67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не входять до складу </w:t>
            </w:r>
          </w:p>
          <w:p w14:paraId="1BDC2B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наглядових рад у бiльш нiж 3 iнших </w:t>
            </w:r>
          </w:p>
          <w:p w14:paraId="687F14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юридичних особах </w:t>
            </w:r>
          </w:p>
        </w:tc>
      </w:tr>
      <w:tr w:rsidR="00000000" w14:paraId="51351B4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C46D06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14:paraId="53B524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747429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Корпоративний секретар веде реєстрацiю </w:t>
            </w:r>
          </w:p>
          <w:p w14:paraId="33D22B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протоколiв наглядової зади Товариства </w:t>
            </w:r>
          </w:p>
          <w:p w14:paraId="20D860D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 її комiтетiв з обов'язковою фiксацiєю </w:t>
            </w:r>
          </w:p>
          <w:p w14:paraId="28070D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членiв, якi прийняли участь у </w:t>
            </w:r>
          </w:p>
          <w:p w14:paraId="31A02C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вiдповiдному засiданнi та голосуваннi й </w:t>
            </w:r>
          </w:p>
          <w:p w14:paraId="68E26B2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iнших учасникiв засiдання</w:t>
            </w:r>
          </w:p>
        </w:tc>
      </w:tr>
      <w:tr w:rsidR="00000000" w14:paraId="232ED14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D64F6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14:paraId="25540F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4D872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Положеннi про наглядову раду </w:t>
            </w:r>
          </w:p>
          <w:p w14:paraId="1EA3966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зазначено, що голова та </w:t>
            </w:r>
          </w:p>
          <w:p w14:paraId="04CCE9A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зобов'язанi </w:t>
            </w:r>
          </w:p>
          <w:p w14:paraId="442B3F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сумлiнно виконувати покладенi на них </w:t>
            </w:r>
          </w:p>
          <w:p w14:paraId="4A2431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обов'язки, дотримуватися високих </w:t>
            </w:r>
          </w:p>
          <w:p w14:paraId="697CF8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професiйних i етичних стандартiв пiд час </w:t>
            </w:r>
          </w:p>
          <w:p w14:paraId="7A47041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своїх обов'язкiв, придiляти </w:t>
            </w:r>
          </w:p>
          <w:p w14:paraId="1174CFD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достатньо уваги та зусиль виконанню своїх обов'язкiв.</w:t>
            </w:r>
          </w:p>
          <w:p w14:paraId="4956D4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75C7817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61F86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128929A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30F3A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Згiдно з Положенням про наглядову раду </w:t>
            </w:r>
          </w:p>
          <w:p w14:paraId="6A4D4D6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члени наглядової ради в </w:t>
            </w:r>
          </w:p>
          <w:p w14:paraId="329F8C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межах своєї компетенцiї мають право </w:t>
            </w:r>
          </w:p>
          <w:p w14:paraId="2DDB6F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отримувати усю iнформацiю (на пiдставi </w:t>
            </w:r>
          </w:p>
          <w:p w14:paraId="5655CC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попереднього запиту), необхiдну членам </w:t>
            </w:r>
          </w:p>
          <w:p w14:paraId="34913FA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наглядової ради для виконання своїх функцiй.</w:t>
            </w:r>
          </w:p>
          <w:p w14:paraId="4342D3E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7213F8C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1BF39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14:paraId="2011B4C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250AB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щорiчно готує звiти про </w:t>
            </w:r>
          </w:p>
          <w:p w14:paraId="4BD61E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свою дiяльнiсть. Генеральний директор Товариства </w:t>
            </w:r>
          </w:p>
          <w:p w14:paraId="705B1A7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пiдзвiтний Загальним Зборам i Наглядовiй Радi.</w:t>
            </w:r>
          </w:p>
        </w:tc>
      </w:tr>
      <w:tr w:rsidR="00000000" w14:paraId="0BAA6BF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33C2D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14:paraId="369869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10029C6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Положеннi про наглядову раду Товариства зазначено, що наглядова рада </w:t>
            </w:r>
          </w:p>
          <w:p w14:paraId="4F35BD0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бере участi у поточному управлiннi </w:t>
            </w:r>
          </w:p>
          <w:p w14:paraId="5BA1B18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У Статутi Товариства </w:t>
            </w:r>
          </w:p>
          <w:p w14:paraId="6525394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розмежовується виключна компетенцiя </w:t>
            </w:r>
          </w:p>
          <w:p w14:paraId="601418F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наглядової ради Товариства та виключна компетенцiя правлiння.</w:t>
            </w:r>
          </w:p>
          <w:p w14:paraId="7E0E74F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1BE30AA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3FCD8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Розмір і навички членів наглядової ради відповідають потребам особи, її розміру та ступеню складності її </w:t>
            </w:r>
            <w:r>
              <w:rPr>
                <w:rFonts w:ascii="Times New Roman CYR" w:hAnsi="Times New Roman CYR" w:cs="Times New Roman CYR"/>
                <w:kern w:val="0"/>
              </w:rPr>
              <w:lastRenderedPageBreak/>
              <w:t>діяльності</w:t>
            </w:r>
          </w:p>
        </w:tc>
        <w:tc>
          <w:tcPr>
            <w:tcW w:w="1500" w:type="dxa"/>
            <w:tcBorders>
              <w:top w:val="single" w:sz="6" w:space="0" w:color="auto"/>
              <w:left w:val="single" w:sz="6" w:space="0" w:color="auto"/>
              <w:bottom w:val="single" w:sz="6" w:space="0" w:color="auto"/>
              <w:right w:val="single" w:sz="6" w:space="0" w:color="auto"/>
            </w:tcBorders>
          </w:tcPr>
          <w:p w14:paraId="35FCCF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3EA29D4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мають вiдповiдати критерiям професiйної </w:t>
            </w:r>
          </w:p>
          <w:p w14:paraId="7F78451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належностi, а також наявностi знань та </w:t>
            </w:r>
          </w:p>
          <w:p w14:paraId="43FE97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освiти, професiйних навичок, </w:t>
            </w:r>
          </w:p>
          <w:p w14:paraId="190DEDD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функцiональної компетенцiї, досвiду та </w:t>
            </w:r>
          </w:p>
          <w:p w14:paraId="46692B3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iнших характеристик, необхiдних для </w:t>
            </w:r>
          </w:p>
          <w:p w14:paraId="4BABB0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обов'язкiв передбачених </w:t>
            </w:r>
          </w:p>
          <w:p w14:paraId="14B1320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Законом, Статутом та Положенням про </w:t>
            </w:r>
          </w:p>
          <w:p w14:paraId="6CD9DE4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наглядову раду. Всi члени наглядової </w:t>
            </w:r>
          </w:p>
          <w:p w14:paraId="7D316D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повиннi володiти повною цивiльною </w:t>
            </w:r>
          </w:p>
          <w:p w14:paraId="6C516F8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дiєздатнiстю, вiдповiдати </w:t>
            </w:r>
          </w:p>
          <w:p w14:paraId="0B2FCA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квалiфiкацiйним вимогам щодо дiлової </w:t>
            </w:r>
          </w:p>
          <w:p w14:paraId="4379AA6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репутацiї i професiйної придатностi та </w:t>
            </w:r>
          </w:p>
          <w:p w14:paraId="2D8C34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вiдповiдати iншим вимогам </w:t>
            </w:r>
          </w:p>
          <w:p w14:paraId="76D2531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законодавства України. Не менше </w:t>
            </w:r>
          </w:p>
          <w:p w14:paraId="7DCAA98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половини членiв наглядової ради повиннi </w:t>
            </w:r>
          </w:p>
          <w:p w14:paraId="62D619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мати досвiд роботи у фiнансовому </w:t>
            </w:r>
          </w:p>
          <w:p w14:paraId="4A8CCBF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секторi не менше трьох рокiв. Кiлькiсний </w:t>
            </w:r>
          </w:p>
          <w:p w14:paraId="16788E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 наглядової ради визначається </w:t>
            </w:r>
          </w:p>
          <w:p w14:paraId="29FDD0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Статутом, що вiдповiдає потребам </w:t>
            </w:r>
          </w:p>
          <w:p w14:paraId="09451DA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розмiру та ступеню </w:t>
            </w:r>
          </w:p>
          <w:p w14:paraId="3B8FEF7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складностi його дiяльностi.</w:t>
            </w:r>
          </w:p>
        </w:tc>
      </w:tr>
      <w:tr w:rsidR="00000000" w14:paraId="496D9E4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01CF27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218E05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07CF79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Положенням про наглядову раду </w:t>
            </w:r>
          </w:p>
          <w:p w14:paraId="353367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визначено лише критерiї, </w:t>
            </w:r>
          </w:p>
          <w:p w14:paraId="10060A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яким мають вiдповiдати члени </w:t>
            </w:r>
          </w:p>
          <w:p w14:paraId="52BEB59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оскiльки цього </w:t>
            </w:r>
          </w:p>
          <w:p w14:paraId="7948CDB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достатньо для обрання членiв наглядової </w:t>
            </w:r>
          </w:p>
          <w:p w14:paraId="79082B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ради та її подальшого функцiонування.</w:t>
            </w:r>
          </w:p>
        </w:tc>
      </w:tr>
      <w:tr w:rsidR="00000000" w14:paraId="37C73B4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D5E4C3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14:paraId="759F5A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D72506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мають </w:t>
            </w:r>
          </w:p>
          <w:p w14:paraId="258498E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вiдповiдати критерiям професiйної </w:t>
            </w:r>
          </w:p>
          <w:p w14:paraId="6AEAA30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належностi, а також наявностi знань та </w:t>
            </w:r>
          </w:p>
          <w:p w14:paraId="467CCD2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освiти, професiйних навичок, </w:t>
            </w:r>
          </w:p>
          <w:p w14:paraId="3CD674C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функцiональної компетенцiї, досвiду та </w:t>
            </w:r>
          </w:p>
          <w:p w14:paraId="0A4AF7E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iнших характеристик, необхiдних для </w:t>
            </w:r>
          </w:p>
          <w:p w14:paraId="7915D55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обов'язкiв передбачених </w:t>
            </w:r>
          </w:p>
          <w:p w14:paraId="55A6B58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Законом, Статутом та Положенням про </w:t>
            </w:r>
          </w:p>
          <w:p w14:paraId="778E37E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наглядову раду. До складу наглядової </w:t>
            </w:r>
          </w:p>
          <w:p w14:paraId="2604A1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обираються акцiонери або особи, </w:t>
            </w:r>
          </w:p>
          <w:p w14:paraId="1AB063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якi представляють їхнi iнтереси та/або </w:t>
            </w:r>
          </w:p>
          <w:p w14:paraId="7BF74D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незалежнi директори. Всi члени </w:t>
            </w:r>
          </w:p>
          <w:p w14:paraId="595E40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в тому числi незалежнi </w:t>
            </w:r>
          </w:p>
          <w:p w14:paraId="0FCFA0F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директори, повиннi володiти повною </w:t>
            </w:r>
          </w:p>
          <w:p w14:paraId="2B5DD4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цивiльною дiєздатнiстю, вiдповiдати </w:t>
            </w:r>
          </w:p>
          <w:p w14:paraId="49A77C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квалiфiкацiйним вимогам щодо дiлової </w:t>
            </w:r>
          </w:p>
          <w:p w14:paraId="39698A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репутацiї i професiйної придатностi та </w:t>
            </w:r>
          </w:p>
          <w:p w14:paraId="20E96B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вiдповiдати iншим вимогам </w:t>
            </w:r>
          </w:p>
          <w:p w14:paraId="35BDB01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законодавства України. Не менше </w:t>
            </w:r>
          </w:p>
          <w:p w14:paraId="4919235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половини членiв наглядової ради повиннi </w:t>
            </w:r>
          </w:p>
          <w:p w14:paraId="646CC6C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мати досвiд роботи у фiнансовому </w:t>
            </w:r>
          </w:p>
          <w:p w14:paraId="3C12666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секторi не менше трьох рокiв. Особи, якi </w:t>
            </w:r>
          </w:p>
          <w:p w14:paraId="28F075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входять до складу наглядової ради </w:t>
            </w:r>
          </w:p>
          <w:p w14:paraId="2BCF43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страховика, вступають на посаду пiсля їх </w:t>
            </w:r>
          </w:p>
          <w:p w14:paraId="494AA25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погодження Нацiональним банком </w:t>
            </w:r>
          </w:p>
          <w:p w14:paraId="4F4355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України, якщо iнше не встановлено </w:t>
            </w:r>
          </w:p>
          <w:p w14:paraId="654149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законодавством. Члени наглядової ради </w:t>
            </w:r>
          </w:p>
          <w:p w14:paraId="149BCA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обираються на три роки</w:t>
            </w:r>
          </w:p>
        </w:tc>
      </w:tr>
      <w:tr w:rsidR="00000000" w14:paraId="3D004B4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139034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14:paraId="3340A73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25CE28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Здiйснюється у розрiзi вiдповiдностi </w:t>
            </w:r>
          </w:p>
          <w:p w14:paraId="506BD35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наступним критерiям: критерiям </w:t>
            </w:r>
          </w:p>
          <w:p w14:paraId="5397E9E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професiйної належностi, а також </w:t>
            </w:r>
          </w:p>
          <w:p w14:paraId="05F5245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наявностi знань та освiти, професiйних </w:t>
            </w:r>
          </w:p>
          <w:p w14:paraId="287F631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навичок, функцiональної компетенцiї, </w:t>
            </w:r>
          </w:p>
          <w:p w14:paraId="3A0922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досвiду та iнших характеристик, </w:t>
            </w:r>
          </w:p>
          <w:p w14:paraId="0B6FFF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необхiдних для виконання обов'язкiв </w:t>
            </w:r>
          </w:p>
          <w:p w14:paraId="62B7CF5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передбачених Законом, Статутом та </w:t>
            </w:r>
          </w:p>
          <w:p w14:paraId="409A72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Положенням про наглядову раду. Членом </w:t>
            </w:r>
          </w:p>
          <w:p w14:paraId="001A46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не може бути особа, яка </w:t>
            </w:r>
          </w:p>
          <w:p w14:paraId="0B1AA08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є дiючим: народним депутатом України, </w:t>
            </w:r>
          </w:p>
          <w:p w14:paraId="178E340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членом Кабiнету Мiнiстрiв України, </w:t>
            </w:r>
          </w:p>
          <w:p w14:paraId="456E49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керiвником центральних та мiсцевих </w:t>
            </w:r>
          </w:p>
          <w:p w14:paraId="3311E53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органiв виконавчої влади, органiв </w:t>
            </w:r>
          </w:p>
          <w:p w14:paraId="5093903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мiсцевого самоврядування, </w:t>
            </w:r>
          </w:p>
          <w:p w14:paraId="4810D6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вiйськовослужбовцем, нотарiусом, </w:t>
            </w:r>
          </w:p>
          <w:p w14:paraId="4909F58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посадовою особою органiв прокуратури, </w:t>
            </w:r>
          </w:p>
          <w:p w14:paraId="1E1E48F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суду, служби безпеки, Нацiональної </w:t>
            </w:r>
          </w:p>
          <w:p w14:paraId="0AE0FEC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полiцiї, державним службовцем; особою, </w:t>
            </w:r>
          </w:p>
          <w:p w14:paraId="749BA9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якiй суд заборонив займатись видом </w:t>
            </w:r>
          </w:p>
          <w:p w14:paraId="12B917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яким займається Товариство; </w:t>
            </w:r>
          </w:p>
          <w:p w14:paraId="61D8B07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особою, яка має непогашену судимiсть за </w:t>
            </w:r>
          </w:p>
          <w:p w14:paraId="50F7F5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злочини проти власностi, службовi чи </w:t>
            </w:r>
          </w:p>
          <w:p w14:paraId="5394981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господарськi злочини. Товариство перед </w:t>
            </w:r>
          </w:p>
          <w:p w14:paraId="069A763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призначенням особи на посаду перевiряє </w:t>
            </w:r>
          </w:p>
          <w:p w14:paraId="6EB675C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її вiдповiднiсть вимогам щодо </w:t>
            </w:r>
          </w:p>
          <w:p w14:paraId="68D1EE1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професiйної придатностi, дiлової </w:t>
            </w:r>
          </w:p>
          <w:p w14:paraId="58A716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репутацiї. Окрiм цього, члени </w:t>
            </w:r>
          </w:p>
          <w:p w14:paraId="1D09F2C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зобов'язанi брати </w:t>
            </w:r>
          </w:p>
          <w:p w14:paraId="21B33B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самовiд вiд пiд час прийняття рiшень, </w:t>
            </w:r>
          </w:p>
          <w:p w14:paraId="73F1C50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стосовно яких вони мають конфлiкт </w:t>
            </w:r>
          </w:p>
          <w:p w14:paraId="1D20604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iнтересiв; уникати та вживати заходiв до </w:t>
            </w:r>
          </w:p>
          <w:p w14:paraId="7E1B642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запобiгання виникненню конфлiктiв </w:t>
            </w:r>
          </w:p>
          <w:p w14:paraId="7BDF1C5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iнтересiв та сприяти їх врегулюванню; </w:t>
            </w:r>
          </w:p>
          <w:p w14:paraId="39500C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повiдомляти наглядову раду про всi </w:t>
            </w:r>
          </w:p>
          <w:p w14:paraId="4EED26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випадки, в яких може виникнути </w:t>
            </w:r>
          </w:p>
          <w:p w14:paraId="7ADA7E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конфлiкт iнтересiв; дотримуватися </w:t>
            </w:r>
          </w:p>
          <w:p w14:paraId="2B366E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правил, встановлених Товариством щодо </w:t>
            </w:r>
          </w:p>
          <w:p w14:paraId="6237E9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умов зберiгання, безпеки та поширення </w:t>
            </w:r>
          </w:p>
          <w:p w14:paraId="15FDF94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iнформацiї з обмеженим доступом; не </w:t>
            </w:r>
          </w:p>
          <w:p w14:paraId="4B51E00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розголошувати та не використовувати на </w:t>
            </w:r>
          </w:p>
          <w:p w14:paraId="1F0B68D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свою власну користь чи на користь </w:t>
            </w:r>
          </w:p>
          <w:p w14:paraId="13C10DB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третiх осiб конфiденцiйну iнформацiю, </w:t>
            </w:r>
          </w:p>
          <w:p w14:paraId="70370B2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 яку їм стало вiдомо пiд час </w:t>
            </w:r>
          </w:p>
          <w:p w14:paraId="0AB2C3F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обов'язкiв голови та або члена </w:t>
            </w:r>
          </w:p>
          <w:p w14:paraId="071384A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Товариства; зберiгати </w:t>
            </w:r>
          </w:p>
          <w:p w14:paraId="12D5234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страхову та комерцiйнi таємницю, </w:t>
            </w:r>
          </w:p>
          <w:p w14:paraId="15B668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конфiденцiйну iнформацiю, яка стала їм </w:t>
            </w:r>
          </w:p>
          <w:p w14:paraId="11E61C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вiдома в ходi виконання обов'язкiв члена </w:t>
            </w:r>
          </w:p>
          <w:p w14:paraId="43CE37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Голова та члени </w:t>
            </w:r>
          </w:p>
          <w:p w14:paraId="592A4B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вступають на посаду </w:t>
            </w:r>
          </w:p>
          <w:p w14:paraId="46A4D80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пiсля їх погодження Нацiональним </w:t>
            </w:r>
            <w:r>
              <w:rPr>
                <w:rFonts w:ascii="Times New Roman CYR" w:hAnsi="Times New Roman CYR" w:cs="Times New Roman CYR"/>
                <w:kern w:val="0"/>
              </w:rPr>
              <w:lastRenderedPageBreak/>
              <w:t>банком.</w:t>
            </w:r>
          </w:p>
        </w:tc>
      </w:tr>
      <w:tr w:rsidR="00000000" w14:paraId="0B12C0F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F54A84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14:paraId="7DC787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AADBF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Зовнiшнi радники не залучаються, </w:t>
            </w:r>
          </w:p>
          <w:p w14:paraId="26A443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оскiльки потреба у цьому вiдсутня. До </w:t>
            </w:r>
          </w:p>
          <w:p w14:paraId="06C5887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складу наглядової ради обираються </w:t>
            </w:r>
          </w:p>
          <w:p w14:paraId="6310E25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акцiонери або особи, якi представляють </w:t>
            </w:r>
          </w:p>
          <w:p w14:paraId="19C73A4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їхнi iнтереси.</w:t>
            </w:r>
          </w:p>
        </w:tc>
      </w:tr>
      <w:tr w:rsidR="00000000" w14:paraId="5B0B851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982303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42801E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8238A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Статутом та внутрiшнiми документами Товариства не передбачено розроблення </w:t>
            </w:r>
          </w:p>
          <w:p w14:paraId="16867C4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планiв наступництва для членiв наглядової ради та Генеральний директор, оскiльки </w:t>
            </w:r>
          </w:p>
          <w:p w14:paraId="405A160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потреба у цьому вiдсутня.</w:t>
            </w:r>
          </w:p>
        </w:tc>
      </w:tr>
      <w:tr w:rsidR="00000000" w14:paraId="3BFF135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3FCF9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7B0712E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96CBF9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r w:rsidR="00000000" w14:paraId="721D0BC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395EA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695B315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A80F1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станом на 31.12.2024 року вiдсотковий показник чоловiчого складу </w:t>
            </w:r>
          </w:p>
          <w:p w14:paraId="6FB4473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наглядової ради Товариства складає 100.</w:t>
            </w:r>
          </w:p>
        </w:tc>
      </w:tr>
      <w:tr w:rsidR="00000000" w14:paraId="4C5BD6D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F5ABD5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14:paraId="371FAF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5A6CC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не є публiчним акцiонерним </w:t>
            </w:r>
          </w:p>
          <w:p w14:paraId="7AF733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тому вимога щодо кiлькостi </w:t>
            </w:r>
          </w:p>
          <w:p w14:paraId="78771E2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незалежних директорiв не є обов'язковою </w:t>
            </w:r>
          </w:p>
          <w:p w14:paraId="0CCDC06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згiдно iз Законом України "Про акцiонернi товариства".</w:t>
            </w:r>
          </w:p>
        </w:tc>
      </w:tr>
      <w:tr w:rsidR="00000000" w14:paraId="542A014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A4E97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проходять вступний тренінг після їх обрання, який серед іншого покриває:</w:t>
            </w:r>
          </w:p>
          <w:p w14:paraId="34218F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обов'язки, функції і сфери відповідальності членів наглядової ради;</w:t>
            </w:r>
          </w:p>
          <w:p w14:paraId="0691A6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незалежність, включаючи незалежність мислення;</w:t>
            </w:r>
          </w:p>
          <w:p w14:paraId="1CA7C7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порядок роботи наглядової ради;</w:t>
            </w:r>
          </w:p>
          <w:p w14:paraId="6BAF904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питання відповідальності;</w:t>
            </w:r>
          </w:p>
          <w:p w14:paraId="493E87B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ґ) питання стратегії особи;</w:t>
            </w:r>
          </w:p>
          <w:p w14:paraId="7EE9AA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 політики особи, включаючи питання етики, конфлікту інтересів та запобігання корупції;</w:t>
            </w:r>
          </w:p>
          <w:p w14:paraId="65386ED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е) питання звітності та систем контролю, включаючи внутрішній та зовнішній аудит;</w:t>
            </w:r>
          </w:p>
          <w:p w14:paraId="4100568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4503D2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EBBF6C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усебiчно сприяє в швидкiй </w:t>
            </w:r>
          </w:p>
          <w:p w14:paraId="4BF7932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адаптацiї новообраних членiв наглядової </w:t>
            </w:r>
          </w:p>
          <w:p w14:paraId="73D5FF7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Товариства, а також у збереженнi та </w:t>
            </w:r>
          </w:p>
          <w:p w14:paraId="73B725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розвитку їх професiйних навичок.</w:t>
            </w:r>
          </w:p>
        </w:tc>
      </w:tr>
      <w:tr w:rsidR="00000000" w14:paraId="145F173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A7FB8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14:paraId="40C906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AF88A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не розробляє план </w:t>
            </w:r>
          </w:p>
          <w:p w14:paraId="2BE0F37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навчання, який визначає, з яких питань </w:t>
            </w:r>
          </w:p>
          <w:p w14:paraId="6FE9FD3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необхiдно пройти додаткове навчання її </w:t>
            </w:r>
          </w:p>
          <w:p w14:paraId="7EA41C0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членам, оскiльки в цьому вiдсутня </w:t>
            </w:r>
          </w:p>
          <w:p w14:paraId="78D3BB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необхiднiсть. Члени наглядової ради </w:t>
            </w:r>
          </w:p>
          <w:p w14:paraId="6DC021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сумлiнно виконують свої обов'язки та </w:t>
            </w:r>
          </w:p>
          <w:p w14:paraId="7EE0BD0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самостiйно навчаються, виходячи з </w:t>
            </w:r>
          </w:p>
          <w:p w14:paraId="0EC0C5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потреб здiйснення своїх обов'язкiв.</w:t>
            </w:r>
          </w:p>
        </w:tc>
      </w:tr>
      <w:tr w:rsidR="00000000" w14:paraId="7626476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F0B2BF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14:paraId="0AA2946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A23D5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Голова наглядової ради обраний </w:t>
            </w:r>
          </w:p>
          <w:p w14:paraId="6BC5AEB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загальними зборами акцiонерiв простою </w:t>
            </w:r>
          </w:p>
          <w:p w14:paraId="19CD5A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бiльшiстю голосiв з представникiв акцiонерiв</w:t>
            </w:r>
          </w:p>
        </w:tc>
      </w:tr>
      <w:tr w:rsidR="00000000" w14:paraId="48FAC64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58D5C2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14:paraId="0B1557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CCCA1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Акцiями Товариства володiють усього </w:t>
            </w:r>
          </w:p>
          <w:p w14:paraId="614C42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три акцiонери, представники яких </w:t>
            </w:r>
          </w:p>
          <w:p w14:paraId="459EFD5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входять до складу наглядової ради </w:t>
            </w:r>
          </w:p>
          <w:p w14:paraId="7F6AB7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Тому, голова наглядової </w:t>
            </w:r>
          </w:p>
          <w:p w14:paraId="3C16ED0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може вiльно комунiкувати з </w:t>
            </w:r>
          </w:p>
          <w:p w14:paraId="568F0D3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акцiонерами та/або представниками акцiонерiв</w:t>
            </w:r>
          </w:p>
        </w:tc>
      </w:tr>
      <w:tr w:rsidR="00000000" w14:paraId="53C94C6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7948C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14:paraId="78D339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A45331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Вiдповiдно до Положення про наглядову </w:t>
            </w:r>
          </w:p>
          <w:p w14:paraId="2BC6A9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раду Товариства голова наглядової ради: </w:t>
            </w:r>
          </w:p>
          <w:p w14:paraId="7F55857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керує та органiзовує роботу наглядової </w:t>
            </w:r>
          </w:p>
          <w:p w14:paraId="0EEEA0D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та здiйснює контроль за реалiзацiєю </w:t>
            </w:r>
          </w:p>
          <w:p w14:paraId="739E2EC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плану роботи; скликає засiдання </w:t>
            </w:r>
          </w:p>
          <w:p w14:paraId="16746E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та головує на них; </w:t>
            </w:r>
          </w:p>
          <w:p w14:paraId="0BB608F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забезпечує контроль за виконанням </w:t>
            </w:r>
          </w:p>
          <w:p w14:paraId="618351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та Ген директором рiшень </w:t>
            </w:r>
          </w:p>
          <w:p w14:paraId="05D8F2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загальних зборiв та наглядової ради; </w:t>
            </w:r>
          </w:p>
          <w:p w14:paraId="6ED2B8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видає обов'язковi для виконання всiма </w:t>
            </w:r>
          </w:p>
          <w:p w14:paraId="24F8120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членами наглядової ради, Ген.директором та </w:t>
            </w:r>
          </w:p>
          <w:p w14:paraId="5BD806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працiвниками Товариства </w:t>
            </w:r>
          </w:p>
          <w:p w14:paraId="098CE75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розпорядження з питань, що належать до </w:t>
            </w:r>
          </w:p>
          <w:p w14:paraId="7D94BDC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його компетенцiї; органiзовує роботу зi </w:t>
            </w:r>
          </w:p>
          <w:p w14:paraId="4E40E00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створення комiтетiв наглядової ради, </w:t>
            </w:r>
          </w:p>
          <w:p w14:paraId="29DEF52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висування членiв наглядової ради до </w:t>
            </w:r>
          </w:p>
          <w:p w14:paraId="696FFB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складу комiтетiв, а також координує </w:t>
            </w:r>
          </w:p>
          <w:p w14:paraId="080EC85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дiяльнiсть, зв'язки мiж наглядовою </w:t>
            </w:r>
          </w:p>
          <w:p w14:paraId="3A288F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радою та з iншими органами i </w:t>
            </w:r>
          </w:p>
          <w:p w14:paraId="411E3E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посадовими особами Товариства; </w:t>
            </w:r>
          </w:p>
          <w:p w14:paraId="4058C7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пропонує до затвердження кандидатуру </w:t>
            </w:r>
          </w:p>
          <w:p w14:paraId="28DCE06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посаду корпоративного секретаря; </w:t>
            </w:r>
          </w:p>
          <w:p w14:paraId="3C98F8C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здiйснює iншi функцiї, необхiднi для </w:t>
            </w:r>
          </w:p>
          <w:p w14:paraId="538DAB3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органiзацiї дiяльностi наглядової ради </w:t>
            </w:r>
          </w:p>
          <w:p w14:paraId="7CEE0F2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спрямованi на досягнення мети Товариства</w:t>
            </w:r>
          </w:p>
        </w:tc>
      </w:tr>
      <w:tr w:rsidR="00000000" w14:paraId="6F7AC86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C83D1A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14:paraId="180F82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606ED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28.12.2023 р. призначено корпоративним </w:t>
            </w:r>
          </w:p>
          <w:p w14:paraId="72DEFC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серетарем </w:t>
            </w:r>
            <w:r>
              <w:rPr>
                <w:rFonts w:ascii="Times New Roman CYR" w:hAnsi="Times New Roman CYR" w:cs="Times New Roman CYR"/>
                <w:kern w:val="0"/>
              </w:rPr>
              <w:t>Товариства Мельника Юрiя Миколайовича</w:t>
            </w:r>
          </w:p>
        </w:tc>
      </w:tr>
      <w:tr w:rsidR="00000000" w14:paraId="1E3F338C"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5467694B"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комітети наглядової ради</w:t>
            </w:r>
          </w:p>
        </w:tc>
      </w:tr>
      <w:tr w:rsidR="00000000" w14:paraId="47CDFE4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9A938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14:paraId="6BE5D0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A80E0F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Положенням про наглядову раду </w:t>
            </w:r>
          </w:p>
          <w:p w14:paraId="6D442E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передбачена можливiсть </w:t>
            </w:r>
          </w:p>
          <w:p w14:paraId="6BBA3B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створювати тимчасовi та постiйнi </w:t>
            </w:r>
          </w:p>
          <w:p w14:paraId="6294EF0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комiтети, але станом на 31.12.2024 вони </w:t>
            </w:r>
          </w:p>
          <w:p w14:paraId="06A2CB5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створенi, оскiльки Товариство не </w:t>
            </w:r>
          </w:p>
          <w:p w14:paraId="2E60973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належить до акцiонерних товариств, у </w:t>
            </w:r>
          </w:p>
          <w:p w14:paraId="4A96BA9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яких створення комiтетiв наглядової </w:t>
            </w:r>
          </w:p>
          <w:p w14:paraId="13809B2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ради є обов'язковим</w:t>
            </w:r>
          </w:p>
        </w:tc>
      </w:tr>
      <w:tr w:rsidR="00000000" w14:paraId="7A6ABB9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4A046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Комітет з питань аудиту складається з незалежних членів наглядової ради, які мають знання у сфері </w:t>
            </w:r>
            <w:r>
              <w:rPr>
                <w:rFonts w:ascii="Times New Roman CYR" w:hAnsi="Times New Roman CYR" w:cs="Times New Roman CYR"/>
                <w:kern w:val="0"/>
              </w:rPr>
              <w:lastRenderedPageBreak/>
              <w:t>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14:paraId="53B4E7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5E30BDF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з питань аудиту наглядовою радою не створений.</w:t>
            </w:r>
          </w:p>
          <w:p w14:paraId="0EF57A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72637D8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BACCB8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5F0800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11103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з питань аудиту наглядовою радою не створений.</w:t>
            </w:r>
          </w:p>
          <w:p w14:paraId="14B8034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3E45DA7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DD2CA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4AB26E6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A4228C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наглядовою радою не створений.</w:t>
            </w:r>
          </w:p>
          <w:p w14:paraId="17233F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4F8616E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8DC0B1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4CA11E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C2A95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наглядовою радою не створений.</w:t>
            </w:r>
          </w:p>
          <w:p w14:paraId="68A9A75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5382792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628F19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14:paraId="4BC8C9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0DE951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наглядовою радою не створений.</w:t>
            </w:r>
          </w:p>
          <w:p w14:paraId="260972B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005B17BC"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4F6F6AA5"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4. Виконавчий орган</w:t>
            </w:r>
          </w:p>
        </w:tc>
      </w:tr>
      <w:tr w:rsidR="00000000" w14:paraId="60AA53B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1AA27F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37CC10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A911C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Генеральний директор Товариства розробляє проект </w:t>
            </w:r>
          </w:p>
          <w:p w14:paraId="1BF255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стратегiї Товариства, а наглядова рада </w:t>
            </w:r>
          </w:p>
          <w:p w14:paraId="3AD035B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затверджує та контролює реалiзацiю стратегiї Товариства</w:t>
            </w:r>
          </w:p>
        </w:tc>
      </w:tr>
      <w:tr w:rsidR="00000000" w14:paraId="7CE7627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15AC5A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14:paraId="125DBB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101995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Визначення ключових показникiв </w:t>
            </w:r>
          </w:p>
          <w:p w14:paraId="2564D8C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ефективностi не здiйснюється, оскiльки </w:t>
            </w:r>
          </w:p>
          <w:p w14:paraId="28DCA8D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це не передбачено внутрiшнiми </w:t>
            </w:r>
          </w:p>
          <w:p w14:paraId="344602D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документами Товариства та не є обов'язковим</w:t>
            </w:r>
          </w:p>
        </w:tc>
      </w:tr>
      <w:tr w:rsidR="00000000" w14:paraId="37F9B03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3B9FA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14:paraId="20D026E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C70A1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звiтує наглядовiй радi про прогрес у впровадженнi стратегiї Товариства</w:t>
            </w:r>
          </w:p>
        </w:tc>
      </w:tr>
      <w:tr w:rsidR="00000000" w14:paraId="4674981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0EB199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56423C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61427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постiйнiй основi в Товариствi </w:t>
            </w:r>
          </w:p>
          <w:p w14:paraId="0E3243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проводяться робочi зустрiчi та наради  керiвникiв пiдроздiлiв </w:t>
            </w:r>
          </w:p>
          <w:p w14:paraId="394409A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контролю з членами наглядової ради -</w:t>
            </w:r>
          </w:p>
          <w:p w14:paraId="0233AFD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представниками акцiонерiв щодо </w:t>
            </w:r>
          </w:p>
          <w:p w14:paraId="13ED0F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обговорення як питань поточної </w:t>
            </w:r>
          </w:p>
          <w:p w14:paraId="086B8C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Товариства, так i стратегiчних </w:t>
            </w:r>
          </w:p>
          <w:p w14:paraId="20EAF4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заходiв, впровадження яких має значний </w:t>
            </w:r>
          </w:p>
          <w:p w14:paraId="70B0B7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вплив на загальний результат дiяльностi  Товариства</w:t>
            </w:r>
          </w:p>
        </w:tc>
      </w:tr>
      <w:tr w:rsidR="00000000" w14:paraId="19A37546"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1FB1D66"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6. Винагорода</w:t>
            </w:r>
          </w:p>
        </w:tc>
      </w:tr>
      <w:tr w:rsidR="00000000" w14:paraId="3FFCC39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ED6C0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14:paraId="7F9621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D8B93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винагороди не отримують. </w:t>
            </w:r>
          </w:p>
          <w:p w14:paraId="2EA878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Генеральному директору</w:t>
            </w:r>
          </w:p>
          <w:p w14:paraId="1019AB3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є справедливою </w:t>
            </w:r>
          </w:p>
          <w:p w14:paraId="43C9CB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компенсацiєю за виконання ним</w:t>
            </w:r>
          </w:p>
          <w:p w14:paraId="2F8061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покладених на них посадових обов'язкiв. </w:t>
            </w:r>
          </w:p>
          <w:p w14:paraId="6B39D2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Винагорода розумно обгрунтована </w:t>
            </w:r>
          </w:p>
          <w:p w14:paraId="245FDA2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стосовно аналогiчних (або спiвмiрних) </w:t>
            </w:r>
          </w:p>
          <w:p w14:paraId="0C3FC9A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ринкових показникiв розмiрiв i умов </w:t>
            </w:r>
          </w:p>
          <w:p w14:paraId="0628D9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 винагороди. Розмiр винагороди </w:t>
            </w:r>
          </w:p>
          <w:p w14:paraId="6834786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встановлюється наглядовою радою.</w:t>
            </w:r>
          </w:p>
        </w:tc>
      </w:tr>
      <w:tr w:rsidR="00000000" w14:paraId="37E5AC8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EE94B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14:paraId="3713BB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B08A6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Рiшення щодо виплати винагороди </w:t>
            </w:r>
          </w:p>
          <w:p w14:paraId="65E6495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приймається з урахуванням прийнятих </w:t>
            </w:r>
          </w:p>
          <w:p w14:paraId="4E97837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особи Товариством ризикiв i результатiв такого </w:t>
            </w:r>
          </w:p>
          <w:p w14:paraId="259B3A4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прийняття, фiнансового результату </w:t>
            </w:r>
          </w:p>
          <w:p w14:paraId="4F18A68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Товариства, у вiдповiдностi до </w:t>
            </w:r>
          </w:p>
          <w:p w14:paraId="7FB8EA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внутрiшнiх положень Товариства та </w:t>
            </w:r>
          </w:p>
          <w:p w14:paraId="73FC7A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чинного законодавства України</w:t>
            </w:r>
          </w:p>
        </w:tc>
      </w:tr>
      <w:tr w:rsidR="00000000" w14:paraId="3B074A8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118E34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14:paraId="32D4F1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E42280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не отримують</w:t>
            </w:r>
          </w:p>
        </w:tc>
      </w:tr>
      <w:tr w:rsidR="00000000" w14:paraId="7DBC0991"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21C42B40"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7. Розкриття інформації і прозорість</w:t>
            </w:r>
          </w:p>
        </w:tc>
      </w:tr>
      <w:tr w:rsidR="00000000" w14:paraId="222D80C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1C7FF4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14:paraId="60992D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F7422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Окрема полiтика щодо розкриття </w:t>
            </w:r>
          </w:p>
          <w:p w14:paraId="5553EB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iнформацiї не затверджена. Товариство </w:t>
            </w:r>
          </w:p>
          <w:p w14:paraId="0F7551B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визначає iнформацiю, яка розкривається </w:t>
            </w:r>
          </w:p>
          <w:p w14:paraId="22CCB4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 оприлюднюється згiдно iз чинним законодавством.</w:t>
            </w:r>
          </w:p>
        </w:tc>
      </w:tr>
      <w:tr w:rsidR="00000000" w14:paraId="252AED5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6B242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забезпечуєскладання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14:paraId="3FBADE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F03A2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Регламентовано внутрiшнiми нормативними документами Товариства.</w:t>
            </w:r>
          </w:p>
          <w:p w14:paraId="497B95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0BBEE9D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ADFD90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7894D0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006462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r w:rsidR="00000000" w14:paraId="50398B8C"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361EA1FF"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8. Система контролю і стандарти етики</w:t>
            </w:r>
          </w:p>
        </w:tc>
      </w:tr>
      <w:tr w:rsidR="00000000" w14:paraId="17FC278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AAB4E4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14:paraId="28E7D5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0E3A3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000000" w14:paraId="40E9A5A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F8416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14:paraId="495714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CB8999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не встановлена </w:t>
            </w:r>
          </w:p>
        </w:tc>
      </w:tr>
      <w:tr w:rsidR="00000000" w14:paraId="325E266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E83CE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Функція комплаєнс та ризик-менеджменту підзвітна раді (невиконавчим директорам ради </w:t>
            </w:r>
            <w:r>
              <w:rPr>
                <w:rFonts w:ascii="Times New Roman CYR" w:hAnsi="Times New Roman CYR" w:cs="Times New Roman CYR"/>
                <w:kern w:val="0"/>
              </w:rPr>
              <w:lastRenderedPageBreak/>
              <w:t>директорів)</w:t>
            </w:r>
          </w:p>
        </w:tc>
        <w:tc>
          <w:tcPr>
            <w:tcW w:w="1500" w:type="dxa"/>
            <w:tcBorders>
              <w:top w:val="single" w:sz="6" w:space="0" w:color="auto"/>
              <w:left w:val="single" w:sz="6" w:space="0" w:color="auto"/>
              <w:bottom w:val="single" w:sz="6" w:space="0" w:color="auto"/>
              <w:right w:val="single" w:sz="6" w:space="0" w:color="auto"/>
            </w:tcBorders>
          </w:tcPr>
          <w:p w14:paraId="0197F8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3E327FD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не встановлена </w:t>
            </w:r>
          </w:p>
        </w:tc>
      </w:tr>
      <w:tr w:rsidR="00000000" w14:paraId="4F79F3F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0F3380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6DB9F1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18251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не встановлена </w:t>
            </w:r>
          </w:p>
        </w:tc>
      </w:tr>
      <w:tr w:rsidR="00000000" w14:paraId="69FBE0A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492691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14:paraId="4FD636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7F981F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000000" w14:paraId="61569D3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EE583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45DFF3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B9F178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000000" w14:paraId="26468E7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2DA148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14:paraId="13527F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EE585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r w:rsidR="00000000" w14:paraId="6AF0A4F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BD39FA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14:paraId="009FB2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999C3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Згiдно внутрiшнiх положень </w:t>
            </w:r>
          </w:p>
        </w:tc>
      </w:tr>
      <w:tr w:rsidR="00000000" w14:paraId="77EF2B7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CF640E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14:paraId="7E25E9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F8B8EB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Згiдно розпорядчого документу Генерального директора </w:t>
            </w:r>
          </w:p>
        </w:tc>
      </w:tr>
      <w:tr w:rsidR="00000000" w14:paraId="6107EECF"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D627EE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конфлікту інтересів, яка покриває такі питання:</w:t>
            </w:r>
          </w:p>
          <w:p w14:paraId="36AADF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 конфлікту інтересів, запобігання і управління конфліктом інтересів;</w:t>
            </w:r>
          </w:p>
          <w:p w14:paraId="545E2F1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правочинів із заінтересованістю;</w:t>
            </w:r>
          </w:p>
          <w:p w14:paraId="3C40651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інсайдерської торгівлі; та</w:t>
            </w:r>
          </w:p>
          <w:p w14:paraId="0D72C28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14:paraId="069D7E1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2FB62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000000" w14:paraId="1BF6708E"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8616899"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9. Оцінка корпоративного управління</w:t>
            </w:r>
          </w:p>
        </w:tc>
      </w:tr>
      <w:tr w:rsidR="00000000" w14:paraId="40F93DD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848A93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14:paraId="768F79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93D55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000000" w14:paraId="4B7492D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4C65E9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39286A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E7862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000000" w14:paraId="268938B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2323FE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14:paraId="6CCAA6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562B3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bl>
    <w:p w14:paraId="79522E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0C5690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2. Інформація про загальні збори акціонерів (учасників) та загальний опис прийнятих на таких зборах рішень: 4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14:paraId="51201360"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105AFD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0DB418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25.04.2024</w:t>
            </w:r>
          </w:p>
        </w:tc>
      </w:tr>
      <w:tr w:rsidR="00000000" w14:paraId="0D685CE8"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56941E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0B5EDE5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X</w:t>
            </w:r>
            <w:r>
              <w:rPr>
                <w:rFonts w:ascii="Times New Roman CYR" w:hAnsi="Times New Roman CYR" w:cs="Times New Roman CYR"/>
                <w:kern w:val="0"/>
              </w:rPr>
              <w:tab/>
            </w:r>
            <w:r>
              <w:rPr>
                <w:rFonts w:ascii="Times New Roman CYR" w:hAnsi="Times New Roman CYR" w:cs="Times New Roman CYR"/>
                <w:kern w:val="0"/>
              </w:rPr>
              <w:t xml:space="preserve">очне голосування, місце проведення: Рiчнi Загальнi збори акцiонерiв Акцiонерного товариства "Страхова компанiя "IНГО ЖИТТЯ"  були проведенi 25 квiтня 2024 року вiдповiдно до порядку передбаченому статтею 59 Закону України "Про акцiонернi товариства", за мiсцем знаходження Товариства за адресою: Україна, мiсто Київ, вулиця Бульварно-Кудрявська, будинок, 33, поверх 4, конференц-зал. </w:t>
            </w:r>
          </w:p>
          <w:p w14:paraId="518454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ab/>
              <w:t>електронне голосування</w:t>
            </w:r>
          </w:p>
          <w:p w14:paraId="5CA3A7C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опитування (дистанційно)</w:t>
            </w:r>
          </w:p>
        </w:tc>
      </w:tr>
      <w:tr w:rsidR="00000000" w14:paraId="04439F08"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77C0DB1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Суб'єкт скликання</w:t>
            </w:r>
          </w:p>
        </w:tc>
        <w:tc>
          <w:tcPr>
            <w:tcW w:w="7000" w:type="dxa"/>
            <w:tcBorders>
              <w:top w:val="single" w:sz="6" w:space="0" w:color="auto"/>
              <w:left w:val="single" w:sz="6" w:space="0" w:color="auto"/>
              <w:bottom w:val="single" w:sz="6" w:space="0" w:color="auto"/>
            </w:tcBorders>
          </w:tcPr>
          <w:p w14:paraId="3CA0EA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w:t>
            </w:r>
          </w:p>
        </w:tc>
      </w:tr>
      <w:tr w:rsidR="00000000" w14:paraId="655C8B0E"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3138A6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Питання порядку денного та прийняті рішення:</w:t>
            </w:r>
          </w:p>
        </w:tc>
      </w:tr>
      <w:tr w:rsidR="00000000" w14:paraId="0A133B39"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2A4F96D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Розгляд звiту Генерального директора Товариства про результати фiнансово - господарськiй дiяльностi за 2023 рiк. Прийняття рiшення за результатами розгляду такого звiту.</w:t>
            </w:r>
          </w:p>
          <w:p w14:paraId="4A5B83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Розгляд звiту Наглядової ради Товариства за 2023 рiк. Прийняття рiшення за результатами розгляду такого звiту.</w:t>
            </w:r>
          </w:p>
          <w:p w14:paraId="33BDE50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Призначення суб'єкта аудиторської дiяльностi вiдповiдно до вимог Закону України "Про аудит фiнансової звiтностi та аудиторську дiяльнiсть". Затвердження рiшення Наглядової ради щодо попереднього призначення суб'єкта аудиторської дiяльностi.</w:t>
            </w:r>
          </w:p>
          <w:p w14:paraId="170911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Розгляд висновку аудиторського звiту суб'єкта аудиторської дiяльностi та затвердження заходiв за результатами розгляду такого звiту.</w:t>
            </w:r>
          </w:p>
          <w:p w14:paraId="51E56D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Затвердження результатiв фiнансово-господарської дiяльностi (бухгалтерського балансу i рiчного звiту) Товариства за 2023 рiк.</w:t>
            </w:r>
          </w:p>
          <w:p w14:paraId="699752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6. Розподiл прибутку Товариства або затвердження порядку покриття збиткiв Товариства за результатами роботи в 2023 роцi. </w:t>
            </w:r>
          </w:p>
          <w:p w14:paraId="6D3CC4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 Припинення повноважень Генерального директора Товариства.</w:t>
            </w:r>
          </w:p>
          <w:p w14:paraId="4F4CABF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8. Обрання Генерального директора Товариства.</w:t>
            </w:r>
          </w:p>
          <w:p w14:paraId="4B6CECE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9. Затвердження умов контракту, що укладатиметься з Генеральним директором. Обрання уповноваженої особи на пiдписання контракту з Генеральним директором.</w:t>
            </w:r>
          </w:p>
          <w:p w14:paraId="2CC853A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 Прийняти рiшення про попереднє надання згоди на вчинення значних правочинiв.</w:t>
            </w:r>
          </w:p>
          <w:p w14:paraId="1C3DCDF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Питання порядку деного - затвердженi.</w:t>
            </w:r>
          </w:p>
        </w:tc>
      </w:tr>
      <w:tr w:rsidR="00000000" w14:paraId="22B7A272"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1ED3BF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3C7655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w:t>
            </w:r>
          </w:p>
        </w:tc>
      </w:tr>
    </w:tbl>
    <w:p w14:paraId="79DFA83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14:paraId="4AE6A852"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1444ED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3351243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14.08.2024</w:t>
            </w:r>
          </w:p>
        </w:tc>
      </w:tr>
      <w:tr w:rsidR="00000000" w14:paraId="3F3D119E"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0DD42BE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1FA610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X</w:t>
            </w:r>
            <w:r>
              <w:rPr>
                <w:rFonts w:ascii="Times New Roman CYR" w:hAnsi="Times New Roman CYR" w:cs="Times New Roman CYR"/>
                <w:kern w:val="0"/>
              </w:rPr>
              <w:tab/>
            </w:r>
            <w:r>
              <w:rPr>
                <w:rFonts w:ascii="Times New Roman CYR" w:hAnsi="Times New Roman CYR" w:cs="Times New Roman CYR"/>
                <w:kern w:val="0"/>
              </w:rPr>
              <w:t xml:space="preserve">очне голосування, місце проведення: Позачерговi Загальнi збори акцiонерiв Акцiонерного товариства "Страхова компанiя "IНГО ЖИТТЯ"  були проведенi 14 серпня 2024 року вiдповiдно до порядку передбаченому статтею 59 Закону України "Про акцiонернi товариства", за мiсцем знаходження Товариства за адресою: Україна, мiсто Київ, вулиця Бульварно-Кудрявська, будинок, 33, поверх 4, конференц-зал. </w:t>
            </w:r>
          </w:p>
          <w:p w14:paraId="40D952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електронне голосування</w:t>
            </w:r>
          </w:p>
          <w:p w14:paraId="6C4C1E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опитування (дистанційно)</w:t>
            </w:r>
          </w:p>
        </w:tc>
      </w:tr>
      <w:tr w:rsidR="00000000" w14:paraId="29D38E33"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24D9A0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Суб'єкт скликання</w:t>
            </w:r>
          </w:p>
        </w:tc>
        <w:tc>
          <w:tcPr>
            <w:tcW w:w="7000" w:type="dxa"/>
            <w:tcBorders>
              <w:top w:val="single" w:sz="6" w:space="0" w:color="auto"/>
              <w:left w:val="single" w:sz="6" w:space="0" w:color="auto"/>
              <w:bottom w:val="single" w:sz="6" w:space="0" w:color="auto"/>
            </w:tcBorders>
          </w:tcPr>
          <w:p w14:paraId="4BF8FB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Акцiонер/НБУ</w:t>
            </w:r>
          </w:p>
        </w:tc>
      </w:tr>
      <w:tr w:rsidR="00000000" w14:paraId="705A438F"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3402F4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Питання порядку денного та прийняті рішення:</w:t>
            </w:r>
          </w:p>
        </w:tc>
      </w:tr>
      <w:tr w:rsidR="00000000" w14:paraId="6E97CB23"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51DEA9C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Внесено змiни до повного та скороченого найменування Товариства та затверджено нове повне i скорочене найменування Товариства. Зокрема з 19.08.2024 року:</w:t>
            </w:r>
          </w:p>
          <w:p w14:paraId="66250A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повне найменування Товариства українською мовою: АКЦIОНЕРНЕ ТОВАРИСТВО "СТРАХОВА КОМПАНIЯ "IНГО ЖИТТЯ" змiнено нна АКЦIОНЕРНЕ ТОВАРИСТВО "ЦЕНТР ФIН СЕРВIС";</w:t>
            </w:r>
          </w:p>
          <w:p w14:paraId="3604E9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скорочене найменування Товариства українською мовою: АТ "СК "IНГО ЖИТТЯ" змiнено на АТ "ЦЕНТР ФIН СЕРВIС";</w:t>
            </w:r>
          </w:p>
          <w:p w14:paraId="757107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Лiквiдовано колегiального виконавчого органу управлiння Товариства - Правлiння.</w:t>
            </w:r>
          </w:p>
          <w:p w14:paraId="0C2B83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Створено одноособовий виконавчий орган - Директор Товариства.</w:t>
            </w:r>
          </w:p>
          <w:p w14:paraId="7C5767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Припинено повноваження складу Правлiння Товариства.</w:t>
            </w:r>
          </w:p>
          <w:p w14:paraId="403D867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135D562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зв'язку iз прийняттям рiшення про лiквiдацiю колегiального виконавчого органу управлiння Товариства - Правлiння, достроково припинити з 18.08.2024 року повноваження складу Правлiння Товариства:  Рижової Тетяни Сергiївни - Голови правлiння та Колiсецької </w:t>
            </w:r>
            <w:r>
              <w:rPr>
                <w:rFonts w:ascii="Times New Roman CYR" w:hAnsi="Times New Roman CYR" w:cs="Times New Roman CYR"/>
                <w:kern w:val="0"/>
              </w:rPr>
              <w:lastRenderedPageBreak/>
              <w:t>Людмили Олександрiвни - Члена Правлiння.</w:t>
            </w:r>
          </w:p>
          <w:p w14:paraId="7EBE1F5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Обрано на посаду Директора Товариства. З 19.08.2024 року Виконуючим обов'язки Директора Товариства обрано Колiсецьку Людмилу Олександрiвну - строком на три роки.</w:t>
            </w:r>
          </w:p>
          <w:p w14:paraId="5EC4D69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 Внесено змiни до перелiку видiв економiчної дiяльностi (КВЕДiв). Затверджено наступнi види економiчної дiяльностi (КВЕДи):</w:t>
            </w:r>
          </w:p>
          <w:p w14:paraId="40687F0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66.22  Дiяльнiсть страхових агентiв i брокерiв  </w:t>
            </w:r>
          </w:p>
          <w:p w14:paraId="03DDD6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66.21 Оцiнювання ризикiв та завданої шкоди</w:t>
            </w:r>
          </w:p>
          <w:p w14:paraId="70867D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66.29 Iнша допомiжна дiяльнiсть у сферi страхування та пенсiйного забезпечення</w:t>
            </w:r>
          </w:p>
          <w:p w14:paraId="728C10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68.20 Надання в оренду й експлуатацiю власного чи орендованого нерухомого майна</w:t>
            </w:r>
          </w:p>
          <w:p w14:paraId="026681C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70.22 Консультування з питань комерцiйної дiяльностi й керування</w:t>
            </w:r>
          </w:p>
          <w:p w14:paraId="318E47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73.11 Рекламнi агентства</w:t>
            </w:r>
          </w:p>
          <w:p w14:paraId="3A57E6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 Внесено змiни до Статуту Товариства та затверджено нову редакцiю Статуту Товариства.</w:t>
            </w:r>
          </w:p>
          <w:p w14:paraId="59340BD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8. Затверджено "Положення про Загальнi збори акцiонерiв" в новiй редакцiї, затверджено "Положення про Наглядову раду" в новiй редакцiї, затверджено "Положення про Директора".</w:t>
            </w:r>
          </w:p>
          <w:p w14:paraId="3CB7B4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2D0AC007"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5058E61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14:paraId="7D7FDB3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w:t>
            </w:r>
          </w:p>
        </w:tc>
      </w:tr>
    </w:tbl>
    <w:p w14:paraId="1075929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14:paraId="668955FB"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0985F16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728B56A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30.05.2024</w:t>
            </w:r>
          </w:p>
        </w:tc>
      </w:tr>
      <w:tr w:rsidR="00000000" w14:paraId="22B01D6F"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3DB479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4F9DF66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X</w:t>
            </w:r>
            <w:r>
              <w:rPr>
                <w:rFonts w:ascii="Times New Roman CYR" w:hAnsi="Times New Roman CYR" w:cs="Times New Roman CYR"/>
                <w:kern w:val="0"/>
              </w:rPr>
              <w:tab/>
            </w:r>
            <w:r>
              <w:rPr>
                <w:rFonts w:ascii="Times New Roman CYR" w:hAnsi="Times New Roman CYR" w:cs="Times New Roman CYR"/>
                <w:kern w:val="0"/>
              </w:rPr>
              <w:t xml:space="preserve">очне голосування, місце проведення: Позачергових Загальних зборiв акцiонерiв Акцiонерного товариства "Страхова компанiя "IНГО ЖИТТЯ" були проведенi 30 травня 2024 року вiдповiдно до порядку передбаченому статтею 59 Закону України "Про акцiонернi товариства", за мiсцем знаходження Товариства за адресою: Україна, мiсто Київ, вулиця Бульварно-Кудрявська, будинок, 33, поверх 4, конференц-зал. </w:t>
            </w:r>
          </w:p>
          <w:p w14:paraId="7A03BF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електронне голосування</w:t>
            </w:r>
          </w:p>
          <w:p w14:paraId="7CC4BD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опитування (дистанційно)</w:t>
            </w:r>
          </w:p>
        </w:tc>
      </w:tr>
      <w:tr w:rsidR="00000000" w14:paraId="275B93A6"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5965E51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Суб'єкт скликання</w:t>
            </w:r>
          </w:p>
        </w:tc>
        <w:tc>
          <w:tcPr>
            <w:tcW w:w="7000" w:type="dxa"/>
            <w:tcBorders>
              <w:top w:val="single" w:sz="6" w:space="0" w:color="auto"/>
              <w:left w:val="single" w:sz="6" w:space="0" w:color="auto"/>
              <w:bottom w:val="single" w:sz="6" w:space="0" w:color="auto"/>
            </w:tcBorders>
          </w:tcPr>
          <w:p w14:paraId="3512A54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w:t>
            </w:r>
          </w:p>
        </w:tc>
      </w:tr>
      <w:tr w:rsidR="00000000" w14:paraId="3E0A5A0F"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7F3C0EA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Питання порядку денного та прийняті рішення:</w:t>
            </w:r>
          </w:p>
        </w:tc>
      </w:tr>
      <w:tr w:rsidR="00000000" w14:paraId="188D1786"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2E2DB9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1.Припинення повноважень Генерального директора Товариства.</w:t>
            </w:r>
          </w:p>
          <w:p w14:paraId="2B1F47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2.Лiквiдацiя одноосiбного виконавчого органу Товариства - Генеральний директор Товариства.</w:t>
            </w:r>
          </w:p>
          <w:p w14:paraId="69F7DE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3.Визнання таким, що втратило чиннiсть "Положення про Генерального директора АТ "СК "IНГО ЖИТТЯ".</w:t>
            </w:r>
          </w:p>
          <w:p w14:paraId="6525929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4.Створення колегiального виконавчого органу управлiння Товариства - Правлiння.</w:t>
            </w:r>
          </w:p>
          <w:p w14:paraId="6D74C6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5.Обрання складу Правлiння. Обрання Голови правлiння.</w:t>
            </w:r>
          </w:p>
          <w:p w14:paraId="33DFBB5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6.Затвердження умов договорiв (контрактiв), що укладаються з Членами Правлiння, обрання  уповноваженої особи на пiдписання договорiв (контрактiв) з Членами Правлiння.</w:t>
            </w:r>
          </w:p>
          <w:p w14:paraId="2922DCF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7. Внесення змiн до Статуту Товариства у вiдповiдностi до вимог Закону України "Про страхування" та затвердження нової редакцiї Статуту Товариства.</w:t>
            </w:r>
          </w:p>
          <w:p w14:paraId="39829E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8. Затвердження "Положення про Загальнi збори акцiонерiв АТ "СК "IНГО ЖИТТЯ". </w:t>
            </w:r>
          </w:p>
          <w:p w14:paraId="6319DB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9. Затвердження "Положення про Наглядову раду АТ "СК "IНГО ЖИТТЯ" в новiй редакцiї.</w:t>
            </w:r>
          </w:p>
          <w:p w14:paraId="71F6443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 Затвердження "Положення про Правлiння АТ "СК "IНГО ЖИТТЯ".</w:t>
            </w:r>
          </w:p>
          <w:p w14:paraId="0FA3C36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11. Затвердження "Положення про винагороду Голови та Членiв Наглядової ради АТ "СК "IНГО ЖИТТЯ".</w:t>
            </w:r>
          </w:p>
        </w:tc>
      </w:tr>
      <w:tr w:rsidR="00000000" w14:paraId="7C3D4A17"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77CC2A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6E9599E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w:t>
            </w:r>
          </w:p>
        </w:tc>
      </w:tr>
    </w:tbl>
    <w:p w14:paraId="5650503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14:paraId="5CA7D886"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62220B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4F14665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28.06.2024</w:t>
            </w:r>
          </w:p>
        </w:tc>
      </w:tr>
      <w:tr w:rsidR="00000000" w14:paraId="7AA33701"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2E2A65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2B7AF03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X</w:t>
            </w:r>
            <w:r>
              <w:rPr>
                <w:rFonts w:ascii="Times New Roman CYR" w:hAnsi="Times New Roman CYR" w:cs="Times New Roman CYR"/>
                <w:kern w:val="0"/>
              </w:rPr>
              <w:tab/>
            </w:r>
            <w:r>
              <w:rPr>
                <w:rFonts w:ascii="Times New Roman CYR" w:hAnsi="Times New Roman CYR" w:cs="Times New Roman CYR"/>
                <w:kern w:val="0"/>
              </w:rPr>
              <w:t xml:space="preserve">очне голосування, місце проведення: Позачергових Загальних зборiв акцiонерiв Акцiонерного товариства "Страхова </w:t>
            </w:r>
            <w:r>
              <w:rPr>
                <w:rFonts w:ascii="Times New Roman CYR" w:hAnsi="Times New Roman CYR" w:cs="Times New Roman CYR"/>
                <w:kern w:val="0"/>
              </w:rPr>
              <w:lastRenderedPageBreak/>
              <w:t xml:space="preserve">компанiя "IНГО ЖИТТЯ" були проведенi 28 червня 2024 року вiдповiдно до порядку передбаченому статтею 59 Закону України "Про акцiонернi товариства", за мiсцем знаходження Товариства за адресою: Україна, мiсто Київ, вулиця Бульварно-Кудрявська, будинок, 33, поверх 4, конференц-зал. </w:t>
            </w:r>
          </w:p>
          <w:p w14:paraId="265D342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електронне голосування</w:t>
            </w:r>
          </w:p>
          <w:p w14:paraId="60A6D0C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опитування (дистанційно)</w:t>
            </w:r>
          </w:p>
        </w:tc>
      </w:tr>
      <w:tr w:rsidR="00000000" w14:paraId="4C86057E"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628218B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Суб'єкт скликання</w:t>
            </w:r>
          </w:p>
        </w:tc>
        <w:tc>
          <w:tcPr>
            <w:tcW w:w="7000" w:type="dxa"/>
            <w:tcBorders>
              <w:top w:val="single" w:sz="6" w:space="0" w:color="auto"/>
              <w:left w:val="single" w:sz="6" w:space="0" w:color="auto"/>
              <w:bottom w:val="single" w:sz="6" w:space="0" w:color="auto"/>
            </w:tcBorders>
          </w:tcPr>
          <w:p w14:paraId="33FB58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Акцiонер/НБУ</w:t>
            </w:r>
          </w:p>
        </w:tc>
      </w:tr>
      <w:tr w:rsidR="00000000" w14:paraId="6FDC17BC"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4C8D9D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Питання порядку денного та прийняті рішення:</w:t>
            </w:r>
          </w:p>
        </w:tc>
      </w:tr>
      <w:tr w:rsidR="00000000" w14:paraId="0EF8D02A"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698784A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 зв'язку iз виконання всiх зобов'язань за договорами страхування (перестрахування) у вiдповiдностi до плану виконання страхового портфеля, складенням регуляторного балансу на дату виконання страхового портфеля - 28.06.2024 року, пiдписанням її уповноваженим представником Товариства та складанням звiту суб'єктом аудиторської дiяльностi про пiдтвердження її достовiрностi та повноти - затвердити вiдповiдну Звiтнiсть.</w:t>
            </w:r>
          </w:p>
        </w:tc>
      </w:tr>
      <w:tr w:rsidR="00000000" w14:paraId="06EAC675"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7A5698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6721634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w:t>
            </w:r>
          </w:p>
        </w:tc>
      </w:tr>
    </w:tbl>
    <w:p w14:paraId="77CC2F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F3F6AA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EEC304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4. Рада</w:t>
      </w:r>
    </w:p>
    <w:p w14:paraId="760443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000000" w14:paraId="19E6197E" w14:textId="77777777">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14:paraId="1CAB96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7DBF4EC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2F3DCE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7116DD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154BD9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ab/>
              <w:t>Голова / член комітету ради</w:t>
            </w:r>
          </w:p>
        </w:tc>
      </w:tr>
      <w:tr w:rsidR="00000000" w14:paraId="284FD05C" w14:textId="77777777">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14:paraId="2B6CC8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075E16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3F89D2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256211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vAlign w:val="center"/>
          </w:tcPr>
          <w:p w14:paraId="3E4174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7010F1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- 2</w:t>
            </w:r>
          </w:p>
        </w:tc>
        <w:tc>
          <w:tcPr>
            <w:tcW w:w="1250" w:type="dxa"/>
            <w:tcBorders>
              <w:top w:val="single" w:sz="6" w:space="0" w:color="auto"/>
              <w:left w:val="single" w:sz="6" w:space="0" w:color="auto"/>
              <w:bottom w:val="single" w:sz="6" w:space="0" w:color="auto"/>
            </w:tcBorders>
            <w:vAlign w:val="center"/>
          </w:tcPr>
          <w:p w14:paraId="550127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- 3</w:t>
            </w:r>
          </w:p>
        </w:tc>
      </w:tr>
      <w:tr w:rsidR="00000000" w14:paraId="1E04772E"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18F92E6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Мацак Олександр Миколайович</w:t>
            </w:r>
          </w:p>
        </w:tc>
        <w:tc>
          <w:tcPr>
            <w:tcW w:w="1150" w:type="dxa"/>
            <w:tcBorders>
              <w:top w:val="single" w:sz="6" w:space="0" w:color="auto"/>
              <w:left w:val="single" w:sz="6" w:space="0" w:color="auto"/>
              <w:bottom w:val="single" w:sz="6" w:space="0" w:color="auto"/>
              <w:right w:val="single" w:sz="6" w:space="0" w:color="auto"/>
            </w:tcBorders>
          </w:tcPr>
          <w:p w14:paraId="2A758B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A7260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10F036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Y</w:t>
            </w:r>
          </w:p>
        </w:tc>
        <w:tc>
          <w:tcPr>
            <w:tcW w:w="1150" w:type="dxa"/>
            <w:tcBorders>
              <w:top w:val="single" w:sz="6" w:space="0" w:color="auto"/>
              <w:left w:val="single" w:sz="6" w:space="0" w:color="auto"/>
              <w:bottom w:val="single" w:sz="6" w:space="0" w:color="auto"/>
              <w:right w:val="single" w:sz="6" w:space="0" w:color="auto"/>
            </w:tcBorders>
          </w:tcPr>
          <w:p w14:paraId="6A706E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64B80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49A019A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4944D70"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2C5CE7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Гордiєнко Iгор Миколайович</w:t>
            </w:r>
          </w:p>
        </w:tc>
        <w:tc>
          <w:tcPr>
            <w:tcW w:w="1150" w:type="dxa"/>
            <w:tcBorders>
              <w:top w:val="single" w:sz="6" w:space="0" w:color="auto"/>
              <w:left w:val="single" w:sz="6" w:space="0" w:color="auto"/>
              <w:bottom w:val="single" w:sz="6" w:space="0" w:color="auto"/>
              <w:right w:val="single" w:sz="6" w:space="0" w:color="auto"/>
            </w:tcBorders>
          </w:tcPr>
          <w:p w14:paraId="033AE6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05A161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1B1DA3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5B1E29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F1B39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42871D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0525092"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586BA5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Колiсецька Людмила Олександрiвна</w:t>
            </w:r>
          </w:p>
        </w:tc>
        <w:tc>
          <w:tcPr>
            <w:tcW w:w="1150" w:type="dxa"/>
            <w:tcBorders>
              <w:top w:val="single" w:sz="6" w:space="0" w:color="auto"/>
              <w:left w:val="single" w:sz="6" w:space="0" w:color="auto"/>
              <w:bottom w:val="single" w:sz="6" w:space="0" w:color="auto"/>
              <w:right w:val="single" w:sz="6" w:space="0" w:color="auto"/>
            </w:tcBorders>
          </w:tcPr>
          <w:p w14:paraId="34C9E9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118D3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07D49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Y</w:t>
            </w:r>
          </w:p>
        </w:tc>
        <w:tc>
          <w:tcPr>
            <w:tcW w:w="1150" w:type="dxa"/>
            <w:tcBorders>
              <w:top w:val="single" w:sz="6" w:space="0" w:color="auto"/>
              <w:left w:val="single" w:sz="6" w:space="0" w:color="auto"/>
              <w:bottom w:val="single" w:sz="6" w:space="0" w:color="auto"/>
              <w:right w:val="single" w:sz="6" w:space="0" w:color="auto"/>
            </w:tcBorders>
          </w:tcPr>
          <w:p w14:paraId="117689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0B7A692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721FFDA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17D099A"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00E9E2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Шевченко Вiктор Васильович</w:t>
            </w:r>
          </w:p>
        </w:tc>
        <w:tc>
          <w:tcPr>
            <w:tcW w:w="1150" w:type="dxa"/>
            <w:tcBorders>
              <w:top w:val="single" w:sz="6" w:space="0" w:color="auto"/>
              <w:left w:val="single" w:sz="6" w:space="0" w:color="auto"/>
              <w:bottom w:val="single" w:sz="6" w:space="0" w:color="auto"/>
              <w:right w:val="single" w:sz="6" w:space="0" w:color="auto"/>
            </w:tcBorders>
          </w:tcPr>
          <w:p w14:paraId="27AB024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66837D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D7CA5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Y</w:t>
            </w:r>
          </w:p>
        </w:tc>
        <w:tc>
          <w:tcPr>
            <w:tcW w:w="1150" w:type="dxa"/>
            <w:tcBorders>
              <w:top w:val="single" w:sz="6" w:space="0" w:color="auto"/>
              <w:left w:val="single" w:sz="6" w:space="0" w:color="auto"/>
              <w:bottom w:val="single" w:sz="6" w:space="0" w:color="auto"/>
              <w:right w:val="single" w:sz="6" w:space="0" w:color="auto"/>
            </w:tcBorders>
          </w:tcPr>
          <w:p w14:paraId="11F83A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AF62D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51493B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34E619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7A79E5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проведені засідання</w:t>
      </w:r>
      <w:r>
        <w:rPr>
          <w:rFonts w:ascii="Times New Roman CYR" w:hAnsi="Times New Roman CYR" w:cs="Times New Roman CYR"/>
          <w:b/>
          <w:bCs/>
          <w:kern w:val="0"/>
        </w:rPr>
        <w:t xml:space="preserve">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000000" w14:paraId="04546C13"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1701F9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14:paraId="35792A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w:t>
            </w:r>
          </w:p>
        </w:tc>
      </w:tr>
      <w:tr w:rsidR="00000000" w14:paraId="193BF954"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5C2D95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очних:</w:t>
            </w:r>
          </w:p>
        </w:tc>
        <w:tc>
          <w:tcPr>
            <w:tcW w:w="8000" w:type="dxa"/>
            <w:tcBorders>
              <w:top w:val="single" w:sz="6" w:space="0" w:color="auto"/>
              <w:left w:val="single" w:sz="6" w:space="0" w:color="auto"/>
              <w:bottom w:val="single" w:sz="6" w:space="0" w:color="auto"/>
            </w:tcBorders>
          </w:tcPr>
          <w:p w14:paraId="0F17A5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w:t>
            </w:r>
          </w:p>
        </w:tc>
      </w:tr>
      <w:tr w:rsidR="00000000" w14:paraId="6B0BC3A9"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2CD8BB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заочних:</w:t>
            </w:r>
          </w:p>
        </w:tc>
        <w:tc>
          <w:tcPr>
            <w:tcW w:w="8000" w:type="dxa"/>
            <w:tcBorders>
              <w:top w:val="single" w:sz="6" w:space="0" w:color="auto"/>
              <w:left w:val="single" w:sz="6" w:space="0" w:color="auto"/>
              <w:bottom w:val="single" w:sz="6" w:space="0" w:color="auto"/>
            </w:tcBorders>
          </w:tcPr>
          <w:p w14:paraId="11970E4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4D2CFC34"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D5E0CA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ради:</w:t>
            </w:r>
          </w:p>
        </w:tc>
        <w:tc>
          <w:tcPr>
            <w:tcW w:w="8000" w:type="dxa"/>
            <w:tcBorders>
              <w:top w:val="single" w:sz="6" w:space="0" w:color="auto"/>
              <w:left w:val="single" w:sz="6" w:space="0" w:color="auto"/>
              <w:bottom w:val="single" w:sz="6" w:space="0" w:color="auto"/>
            </w:tcBorders>
          </w:tcPr>
          <w:p w14:paraId="5C1735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Призначення суб`єктом аудиторської дiяльностi для надання послуг з обов`язкового аудиту фiнансової звiтностi Товариства за 2022 рiк.  </w:t>
            </w:r>
          </w:p>
          <w:p w14:paraId="015B5F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Узгодження умов договору на надання аудиторських послуг.</w:t>
            </w:r>
          </w:p>
          <w:p w14:paraId="296FB16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Обрання особи, уповноваженої на пiдписання такого договору з суб'єктом аудиторської дiяльностi.</w:t>
            </w:r>
          </w:p>
          <w:p w14:paraId="3CF471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Обрання Голови Наглядової ради.</w:t>
            </w:r>
          </w:p>
          <w:p w14:paraId="08A818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Затвердження рiчної iнформацiї Товариства, як емiтента цiнних паперiв.</w:t>
            </w:r>
          </w:p>
          <w:p w14:paraId="33D1C2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Затвердження проекту плану виходу з ринку для подання на розгляд та затвердження позачергових Загальних зборiв акцiонерiв Товариства</w:t>
            </w:r>
          </w:p>
          <w:p w14:paraId="111F60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Призначення суб'єкта аудиторської дiяльностi для надання послуг з додаткового аудиторського звiту.</w:t>
            </w:r>
          </w:p>
          <w:p w14:paraId="7BB390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Укладення договору з суб'єктом аудиторського дiяльностi.</w:t>
            </w:r>
          </w:p>
          <w:p w14:paraId="32BBAC4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Призначення нез</w:t>
            </w:r>
            <w:r>
              <w:rPr>
                <w:rFonts w:ascii="Times New Roman CYR" w:hAnsi="Times New Roman CYR" w:cs="Times New Roman CYR"/>
                <w:kern w:val="0"/>
                <w:sz w:val="22"/>
                <w:szCs w:val="22"/>
              </w:rPr>
              <w:t>алежного актуарiя для надання висновку про достатнiсть сформованих технiчних резервiв для виконання страхового портфелю.</w:t>
            </w:r>
          </w:p>
          <w:p w14:paraId="64CC42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B2049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0B43A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51D430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544748A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ради</w:t>
      </w:r>
    </w:p>
    <w:p w14:paraId="4DBA8F9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2024 року Наглядова рада здiйснювала контроль та нагляд за дiяльнiстю </w:t>
      </w:r>
    </w:p>
    <w:p w14:paraId="0922C5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АКЦIОНЕРНОГО ТОВАРИСТВА "СТРАХОВА КОМПАНIЯ "IНГО ЖИТТЯ" (надалi - Компанiя) в </w:t>
      </w:r>
    </w:p>
    <w:p w14:paraId="160499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межах своїх повноважень та компетенцiї вiдповiдно до чинного законодавства, Статуту Компанiї та </w:t>
      </w:r>
    </w:p>
    <w:p w14:paraId="497E4EE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Положення про Наглядову Раду, а також виконувала iншi повноваження в межах своєї компетенцiї.</w:t>
      </w:r>
    </w:p>
    <w:p w14:paraId="0DA4B9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звiтного 2024 року, Наглядова Рада, яка включала в себе 3 (три) члени.</w:t>
      </w:r>
    </w:p>
    <w:p w14:paraId="03647A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 всiх питаннях порядку денного засiдань Наглядової Ради його члени голосували особисто та рiшення </w:t>
      </w:r>
    </w:p>
    <w:p w14:paraId="40B703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приймалися простою бiльшiстю голосiв, з врахуванням того, що кожний член Наглядової Ради має один </w:t>
      </w:r>
    </w:p>
    <w:p w14:paraId="4813C4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голос. Всi рiшення, прийнятi Наглядовою Радою Товариства, оформлювалися протоколами, якi вiв </w:t>
      </w:r>
    </w:p>
    <w:p w14:paraId="395A00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секретар Наглядової Ради. Усi прийнятi рiшення були належним чином вiдображенi у протоколах </w:t>
      </w:r>
    </w:p>
    <w:p w14:paraId="4CD184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засiдань Наглядової Ради. Наглядова Рада не виходила за межi своїх повноважень.</w:t>
      </w:r>
    </w:p>
    <w:p w14:paraId="1CE206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звiтного перiоду форми дiяльностi (прийняття рiшень) Наглядової Ради вiдповiдали </w:t>
      </w:r>
    </w:p>
    <w:p w14:paraId="2616661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передбаченим Статутом Товариства, а саме шляхом скликання засiдань (чергових та позачергових та </w:t>
      </w:r>
    </w:p>
    <w:p w14:paraId="445689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заочного голосування) з метою обговорення питань, включених до порядку денного та прийняття </w:t>
      </w:r>
    </w:p>
    <w:p w14:paraId="46E3AA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рiшень.</w:t>
      </w:r>
    </w:p>
    <w:p w14:paraId="2702E4B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Усi рiшення засiдань Наглядової Ради у 2024 роцi були правомiрними через наявнiсть вiдповiдного </w:t>
      </w:r>
    </w:p>
    <w:p w14:paraId="350E39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кворуму та вiдсутностi заперечень щодо форми проведення засiдання або прийняття рiшень та/або щодо </w:t>
      </w:r>
    </w:p>
    <w:p w14:paraId="7DC73D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питань порядку денного. Члени Наглядової Ради протягом 2024 року були вiдсутнi на засiданнях </w:t>
      </w:r>
    </w:p>
    <w:p w14:paraId="5F8F0BF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Наглядової Ради виключно у зв'язку з їх вiдпусткою або перебуванням на лiкарняному.</w:t>
      </w:r>
    </w:p>
    <w:p w14:paraId="0DCA48D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усiх чергових (щоквартальних) засiданнях Наглядової Ради брав участь Генеральний директор , оскiльки </w:t>
      </w:r>
    </w:p>
    <w:p w14:paraId="24581D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питання, що вiднесенi до  компетенцiї, входили до порядку денного кожного засiдання Наглядової </w:t>
      </w:r>
    </w:p>
    <w:p w14:paraId="6379D51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Ради Товариства та надавалися безпосередньо Генеральним директором з урахуванням компетенцiї кожного. </w:t>
      </w:r>
    </w:p>
    <w:p w14:paraId="53F1CA9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Кожне засiдання Наглядової Ради супроводжувалося вiдкритим обмiном iнформацiї та думок по всiм питанням.</w:t>
      </w:r>
    </w:p>
    <w:p w14:paraId="7DF61C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розгляду питань порядку денного та прийняття рiшень, в кожному з випадкiв Наглядова Рада </w:t>
      </w:r>
    </w:p>
    <w:p w14:paraId="65A5FC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керувалася iнформацiєю, наданою Генеральним директором , власним досвiдом та навиками, та приймали рiшення в iнтересах Товариства, його клiєнтiв та Акцiонерiв. </w:t>
      </w:r>
    </w:p>
    <w:p w14:paraId="2BDB02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 час виконання своїх функцiй, члени Наглядової Ради дотримувалися чинного законодавства </w:t>
      </w:r>
    </w:p>
    <w:p w14:paraId="0BEB06C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України та стандартiв корпоративного управлiння та дiяли в межах своїх компетенцiй.</w:t>
      </w:r>
    </w:p>
    <w:p w14:paraId="526F56B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Окрiм того, Наглядовою Радою Компанiї було здiйснено аналiз дiй Генерального директора , за результатами </w:t>
      </w:r>
    </w:p>
    <w:p w14:paraId="145E3E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якого Наглядова Рада прийшла до висновку, що:</w:t>
      </w:r>
    </w:p>
    <w:p w14:paraId="7E9E67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результатами нагляду та аналiзу дiй Генерального директора  щодо управлiння Компанiєю, Наглядова Рада </w:t>
      </w:r>
    </w:p>
    <w:p w14:paraId="1DEF8A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пiдтверджує, що не має зауважень до роботи , посадових i службових осiб Компанiї. </w:t>
      </w:r>
    </w:p>
    <w:p w14:paraId="09A5756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Наглядова Рада вважає, що протягом звiтного перiоду Генеральний директор  та її посадовi особи дiяли </w:t>
      </w:r>
    </w:p>
    <w:p w14:paraId="2B9534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виключно в iнтересах Компанiї та її акцiонерiв, ними приймалися своєчаснi i достатнi заходи та дiї для </w:t>
      </w:r>
    </w:p>
    <w:p w14:paraId="16053A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зменшення ризикiв, якi виникли в результатi воєнних дiй на територiї України. Генеральний директор  не </w:t>
      </w:r>
    </w:p>
    <w:p w14:paraId="619F657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лише здiйснювали управлiння поточною дiяльнiстю Компанiї, дотримуючись та виконуючи вимоги </w:t>
      </w:r>
    </w:p>
    <w:p w14:paraId="3B04D9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законодавства України, а й забезпечували максимальну безпеку спiвробiтникiв Компанiї як на територiї </w:t>
      </w:r>
    </w:p>
    <w:p w14:paraId="440B93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України так i за її межами.</w:t>
      </w:r>
    </w:p>
    <w:p w14:paraId="0B1BB4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Оцiнка компетентностi та ефективностi членiв Наглядової Ради:</w:t>
      </w:r>
    </w:p>
    <w:p w14:paraId="40E173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вiдповiдали та вiдповiдають критерiям професiйної належностi та вiдповiдностi </w:t>
      </w:r>
    </w:p>
    <w:p w14:paraId="241D7F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займаним посадам. Професiйний досвiд та склад Наглядової Ради є достатнiм для прийняття рiшень.</w:t>
      </w:r>
    </w:p>
    <w:p w14:paraId="1AB876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Компетентнiсть та ефективнiсть кожного члена Наглядової Ради є належними.</w:t>
      </w:r>
    </w:p>
    <w:p w14:paraId="31A603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огляду на зазначене, Наглядова Рада належним чином здiйснювала свої функцiї, а дiяльнiсть </w:t>
      </w:r>
    </w:p>
    <w:p w14:paraId="48E530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Наглядової Ради є задовiльною. Наглядова Рада належним чином здiйснювала захист прав акцiонерiв та </w:t>
      </w:r>
    </w:p>
    <w:p w14:paraId="1B86F90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iнтересiв Товариства, а також контролювала та регулювала дiяльнiсть Генерального директора та дiяльнiсть Корпоративного секретаря.</w:t>
      </w:r>
    </w:p>
    <w:p w14:paraId="240CAD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571A2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43663CA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1D85C0E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431E35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48EBEA3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Рижова Тетяна Сергiївна до18.08.2024 року</w:t>
            </w:r>
          </w:p>
        </w:tc>
      </w:tr>
      <w:tr w:rsidR="00000000" w14:paraId="40CB70D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F467E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3E7244F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1BA9063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7B5F20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7A11E5C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268FE12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E5F6C3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керівника</w:t>
            </w:r>
          </w:p>
        </w:tc>
        <w:tc>
          <w:tcPr>
            <w:tcW w:w="6500" w:type="dxa"/>
            <w:tcBorders>
              <w:top w:val="single" w:sz="6" w:space="0" w:color="auto"/>
              <w:left w:val="single" w:sz="6" w:space="0" w:color="auto"/>
              <w:bottom w:val="single" w:sz="6" w:space="0" w:color="auto"/>
            </w:tcBorders>
          </w:tcPr>
          <w:p w14:paraId="6DC7D2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Повноваження Генерального директора визначенi вiдповiдно до положень Статуту Товариства та Положення про Генерального директора, зокрема:</w:t>
            </w:r>
          </w:p>
          <w:p w14:paraId="25E436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 дiяти вiд iменi Товариства без довiреностi, в тому числi представляти його iнтереси на територiї України i за її межами;</w:t>
            </w:r>
          </w:p>
          <w:p w14:paraId="3F02DB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w:t>
            </w:r>
          </w:p>
          <w:p w14:paraId="6BBC957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3) органiзацiя та забезпечення виконання рiшень Загальних зборiв та Наглядової ради; </w:t>
            </w:r>
          </w:p>
          <w:p w14:paraId="3CBE42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4) приймати рiшення про укладання угод чи кiлькох пов'язаних угод, пов'язаних iз страхуванням, спiвстрахуванням та перестрахуванням, якщо iнше не передбачено Статутом;</w:t>
            </w:r>
          </w:p>
          <w:p w14:paraId="69F709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5) приймати рiшення про здiйснення правочинiв або декiлькох взаємопов'язаних правочинiв щодо придбання, вiдчудження або можливiстю вiдчудження Товариством безпосередньо або опосередковано майна, у випадку, коли розмiр зобов'язань по таким правочинам не перевищує суму еквiвалентну 100 000 (сто тисяч) євро в гривневому еквiвалентi по курсу Нацiонального Банку України на дату здiйснення правочину (за виключенням правочинiв, пов'язаних зi страхуванням, спiльнiм страхуванням та перестрахуванням), якщо iнше не п</w:t>
            </w:r>
            <w:r>
              <w:rPr>
                <w:rFonts w:ascii="Times New Roman CYR" w:hAnsi="Times New Roman CYR" w:cs="Times New Roman CYR"/>
                <w:kern w:val="0"/>
                <w:sz w:val="22"/>
                <w:szCs w:val="22"/>
              </w:rPr>
              <w:t>ередбачено Статутом або законодавством України.</w:t>
            </w:r>
          </w:p>
          <w:p w14:paraId="4533D4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6) затвердження штатного розкладу Товариства;</w:t>
            </w:r>
          </w:p>
          <w:p w14:paraId="705FC5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7) пiдготовка  проектiв положень про структурнi пiдроздiли Товариства;</w:t>
            </w:r>
          </w:p>
          <w:p w14:paraId="2524A7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8) призначення представникiв, затвердження кандидатур для представництва в органах управлiння юридичних осiб, учасником яких є Товариство;</w:t>
            </w:r>
          </w:p>
          <w:p w14:paraId="0A4D1E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9) затвердження загальних умов трудових договорiв iз працiвниками Товариства;</w:t>
            </w:r>
          </w:p>
          <w:p w14:paraId="4B9518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10) розгляд i затвердження положень про оплату працi, премiювання й iншi заохочення персоналу Товариства, встановлення порядку i норм компенсацiйних виплат, витрат на вiдрядження, доплат до посадових окладiв, а також термiнiв i розмiрiв премiювання спiвробiтникiв;</w:t>
            </w:r>
          </w:p>
          <w:p w14:paraId="31C8D6D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11) розгляд питань, що стосується дiяльностi юридичних осiб, учасником яких є Товариство, включаючи звiти керiвникiв про їх дiяльнiсть;</w:t>
            </w:r>
          </w:p>
          <w:p w14:paraId="00E68BF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12) призначення керiвникiв представництв i фiлiй Товариства.</w:t>
            </w:r>
          </w:p>
          <w:p w14:paraId="27951DE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13) вчинення правочинiв вiд iменi Товариства та iншi юридичнi дiї, забезпечення виконання прийнятих Товариством зобов'язань без доручення;</w:t>
            </w:r>
          </w:p>
          <w:p w14:paraId="1EA8510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14)  вiдкривати рахунки в банкiвських установах, розпоряджатися коштами i майном Товариства;</w:t>
            </w:r>
          </w:p>
          <w:p w14:paraId="3A3A3E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78CA1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15) розпоряджатися коштами i майном Товариства;</w:t>
            </w:r>
          </w:p>
          <w:p w14:paraId="1925A2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16) видавати накази, розпорядження i давати вказiвки, обов'язковi для виконання всiма працiвниками Товариства;</w:t>
            </w:r>
          </w:p>
          <w:p w14:paraId="53C7D1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17) видання довiреностей (доручень) особам для виконання дiй вiд iменi Товариства; </w:t>
            </w:r>
          </w:p>
          <w:p w14:paraId="33CF2F3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18) органiзовувати бухгалтерський облiк i звiтнiсть у Товариствi вiдповiдно до вимог законодавства України;</w:t>
            </w:r>
          </w:p>
          <w:p w14:paraId="2E5287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19) приймати i звiльняти працiвникiв, застосовувати до працiвникiв засоби заохочення i стягнення, органiзовувати пiдвищення їх квалiфiкацiї;</w:t>
            </w:r>
          </w:p>
          <w:p w14:paraId="2F12E6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20) забезпечувати схороннiсть майна Товариства;</w:t>
            </w:r>
          </w:p>
          <w:p w14:paraId="032800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21) вирiшувати питання вiдрядження працiвникiв Товариства;</w:t>
            </w:r>
          </w:p>
          <w:p w14:paraId="30B2467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22) здiйснює органiзацiйнi заходи щодо вiдкриття Загальних зборiв;</w:t>
            </w:r>
          </w:p>
          <w:p w14:paraId="4245B5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23) здiйснює органiзацiйнi заходи щодо обрання Секретаря Загальних зборiв.</w:t>
            </w:r>
          </w:p>
          <w:p w14:paraId="075196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24) виконувати iншi дiї, необхiднi для забезпечення дiяльностi Товариства, за винятком тих, якi вiдповiдно до Статуту Товариства i законодавства України вiднесенi до компетенцiї Загальних зборiв, Наглядової Ради.</w:t>
            </w:r>
          </w:p>
          <w:p w14:paraId="60187D6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r w:rsidR="00000000" w14:paraId="6F4165E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8BDCE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24AF2C4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610B015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AEEE97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7A7E79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74D2D35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E3EAF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45F2206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3530D31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70246A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14:paraId="0D5C9E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r w:rsidR="00000000" w14:paraId="6F9D00F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D1E4C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14:paraId="7E5A773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Колiсецька Людмила Олександрiвна (посада - В.о. Директора) з 19.08.2024 року</w:t>
            </w:r>
          </w:p>
        </w:tc>
      </w:tr>
      <w:tr w:rsidR="00000000" w14:paraId="1F164AC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53A677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5CA0C79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1F2F903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53F29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532DCD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bl>
    <w:p w14:paraId="7EBB725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781EDCA1"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виконавчого органу</w:t>
      </w:r>
    </w:p>
    <w:p w14:paraId="5303091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2024 роцi Генеральний директор здiйснював (до 18.08.2024 року) керiвництво поточною дiяльнiстю </w:t>
      </w:r>
    </w:p>
    <w:p w14:paraId="3680BA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АКЦIОНЕРНОГО ТОВАРИСТВА "СТРАХОВА КОМПАНIЯ "IНГО ЖИТТЯ" (надалi - Товариство) в </w:t>
      </w:r>
    </w:p>
    <w:p w14:paraId="037635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межах своїх повноважень вiдповiдно до чинного законодавства, Статуту Товариства та Положення про </w:t>
      </w:r>
    </w:p>
    <w:p w14:paraId="690123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Генерального директора Товариства, а також виконував iншi повноваження в межах своєї компетенцiї.</w:t>
      </w:r>
    </w:p>
    <w:p w14:paraId="6BB0D0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Повноваження Генерального директора визначенi вiдповiдно до положень Статуту Товариства та Положення, зокрема:</w:t>
      </w:r>
    </w:p>
    <w:p w14:paraId="7942FC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дiяти вiд iменi Товариства без довiреностi, в тому числi представляти його iнтереси на територiї України i за її межами;</w:t>
      </w:r>
    </w:p>
    <w:p w14:paraId="19E651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вирiшення всi</w:t>
      </w:r>
      <w:r>
        <w:rPr>
          <w:rFonts w:ascii="Times New Roman CYR" w:hAnsi="Times New Roman CYR" w:cs="Times New Roman CYR"/>
          <w:kern w:val="0"/>
        </w:rPr>
        <w:t>х питань, пов'язаних з керiвництвом поточною дiяльнiстю Товариства, крiм питань, що належать до виключної компетенцiї Загальних зборiв та Наглядової ради;</w:t>
      </w:r>
    </w:p>
    <w:p w14:paraId="33C20AB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органiзацiя та забезпечення виконання рiшень Загальних зборiв та Наглядової ради; </w:t>
      </w:r>
    </w:p>
    <w:p w14:paraId="3621F8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приймати рiшення про укладання угод чи кiлькох пов'язаних угод, пов'язаних iз страхуванням, спiвстрахуванням та перестрахуванням, якщо iнше не передбачено Статутом;</w:t>
      </w:r>
    </w:p>
    <w:p w14:paraId="5038E8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приймати рiшення про здiйснення правочинiв або декiлькох взаємопов'язаних правочинiв щодо придбання, вiдчудження або можливiстю вiдчудження Товариством безпосередньо або опосередковано майна, у випадку, коли розмiр зобов'язань по таким правочинам не перевищує суму еквiвалентну 100 000 (сто тисяч) євро в гривневому еквiвалентi по курсу Нацiонального Банку України на дату здiйснення </w:t>
      </w:r>
      <w:r>
        <w:rPr>
          <w:rFonts w:ascii="Times New Roman CYR" w:hAnsi="Times New Roman CYR" w:cs="Times New Roman CYR"/>
          <w:kern w:val="0"/>
        </w:rPr>
        <w:lastRenderedPageBreak/>
        <w:t>правочину (за виключенням правочинiв, пов'язаних зi страхуванням, спiльнiм страхуванням та перестрахуванням), якщо iнше не передбачено Статутом або законодавством України.</w:t>
      </w:r>
    </w:p>
    <w:p w14:paraId="322FC6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затвердження штатного розкладу Товариства;</w:t>
      </w:r>
    </w:p>
    <w:p w14:paraId="6DD2EFF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пiдготовка  проектiв положень про структурнi пiдроздiли Товариства;</w:t>
      </w:r>
    </w:p>
    <w:p w14:paraId="504D7A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призначення представникiв, затвердження кандидатур для представництва в органах управлiння юридичних осiб, учасником яких є Товариство;</w:t>
      </w:r>
    </w:p>
    <w:p w14:paraId="476166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затвердження загальних умов трудових договорiв iз працiвниками Товариства;</w:t>
      </w:r>
    </w:p>
    <w:p w14:paraId="7E9F789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10) розгляд i затвердження положень про оплату працi, премiювання й iншi заохочення персоналу Товариства, встановлення порядку i норм компенсацiйних виплат, витрат на вiдрядження, доплат до посадових окладiв, а також термiнiв i розмiрiв премiювання спiвробiтникiв;</w:t>
      </w:r>
    </w:p>
    <w:p w14:paraId="46E1E4B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розгляд питань, що стосується дiяльностi юридичних осiб, учасником яких є Товариство, включаючи звiти керiвникiв про їх дiяльнiсть;</w:t>
      </w:r>
    </w:p>
    <w:p w14:paraId="630F17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призначення керiвникiв представництв i фiлiй Товариства.</w:t>
      </w:r>
    </w:p>
    <w:p w14:paraId="55118B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вчинення правочинiв вiд iменi Товариства та iншi юридичнi дiї, забезпечення виконання прийнятих Товариством зобов'язань без доручення;</w:t>
      </w:r>
    </w:p>
    <w:p w14:paraId="1D26B67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вiдкривати рахунки в банкiвських установах, розпоряджатися коштами i майном Товариства;</w:t>
      </w:r>
    </w:p>
    <w:p w14:paraId="7132F3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розпоряджатися коштами i майном Товариства;</w:t>
      </w:r>
    </w:p>
    <w:p w14:paraId="4ABA5A9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16) видавати накази, розпорядження i давати вказiвки, обов'язковi для виконання всiма працiвниками Товариства;</w:t>
      </w:r>
    </w:p>
    <w:p w14:paraId="6A32DF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17) видання довiреностей (доручень) особам для виконання дiй вiд iменi Товариства; </w:t>
      </w:r>
    </w:p>
    <w:p w14:paraId="3CBF85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18) органiзовувати бухгалтерський облiк i звiтнiсть у Товариствi вiдповiдно до вимог законодавства України;</w:t>
      </w:r>
    </w:p>
    <w:p w14:paraId="1A67A5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19) приймати i звiльняти працiвникiв, застосовувати до працiвникiв засоби заохочення i стягнення, органiзовувати пiдвищення їх квалiфiкацiї;</w:t>
      </w:r>
    </w:p>
    <w:p w14:paraId="153DEF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20) забезпечувати схороннiсть майна Товариства;</w:t>
      </w:r>
    </w:p>
    <w:p w14:paraId="042115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 вирiшувати питання вiдрядження працiвникiв Товариства;</w:t>
      </w:r>
    </w:p>
    <w:p w14:paraId="0452B0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22) здiйснює органiзацiйнi заходи щодо вiдкриття Загальних зборiв;</w:t>
      </w:r>
    </w:p>
    <w:p w14:paraId="733DF6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23) здiйснює органiзацiйнi заходи щодо обрання Секретаря Загальних зборiв.</w:t>
      </w:r>
    </w:p>
    <w:p w14:paraId="2B312C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24) виконувати iншi дiї, необхiднi для забезпечення дiяльностi Товариства, за винятком тих, якi вiдповiдно до Статуту Товариства i законодавства України вiднесенi до компетенцiї Загальних зборiв, Наглядової Ради.</w:t>
      </w:r>
    </w:p>
    <w:p w14:paraId="187A71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Змiни: </w:t>
      </w:r>
    </w:p>
    <w:p w14:paraId="2C5A8F9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29425E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Оцiнка компетентностi та ефективностi Генерального директора: </w:t>
      </w:r>
    </w:p>
    <w:p w14:paraId="7228AB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Вiдповiдав критерiям професiйної належностi та вiдповiдностi займаної посади. Професiйний досвiд є достатнiм для прийняття вiдповiдних управлiнських рiшень. Генеральний директор належним чином виконував повноваження, передбаченi Статутом. Прийнятi своєчаснi i достатнi мiри та рiшення для належного управлiння поточною дiяльнiстю Товариства. </w:t>
      </w:r>
    </w:p>
    <w:p w14:paraId="1D51E7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Висновки: З огляду на зазначене вище, дiйшло наступних висновкiв: "У 2024 роцi Генеральний директор належним чином виконував завдання, покладенi на нього чинним законодавством та Статутом. " Дiї, здiйсненнi Генеральним директором, забезпечили стабiльну безперервну дiяльнiсть Товариства, зокрема, не зважаючи на рiвень iнфляцiї в Українi, вiйськовий стан та значне зниження економiки - вдалося досягти максимальних показникiв, Товариство забезпечує надiйне та своєчасне страхове покриття українському ринку i гро</w:t>
      </w:r>
      <w:r>
        <w:rPr>
          <w:rFonts w:ascii="Times New Roman CYR" w:hAnsi="Times New Roman CYR" w:cs="Times New Roman CYR"/>
          <w:kern w:val="0"/>
        </w:rPr>
        <w:t>мадянам України, вiдшкодовує понесенi збитки, та сумлiнно сплачує податки до державного бюджету, сприяючи тим самим забезпеченню фiнансової стабiльностi економiки. "Фактiв iстотних порушень законодавства України пiд час здiйснення Товариством господарської дiяльностi у 2023 роцi не виявлено. " Вiдсутнi факти реальних чи потенцiйних конфлiктiв iнтересiв. " Генеральний директор вчинив усi необхiднi дiї для пiдтримання та продовження дiяльностi Товариства в умовах вiйни. " Дiяльнiсть Генерального директора зум</w:t>
      </w:r>
      <w:r>
        <w:rPr>
          <w:rFonts w:ascii="Times New Roman CYR" w:hAnsi="Times New Roman CYR" w:cs="Times New Roman CYR"/>
          <w:kern w:val="0"/>
        </w:rPr>
        <w:t>овила позитивнi змiни у фiнансово-господарськiй дiяльностi Товариства.</w:t>
      </w:r>
    </w:p>
    <w:p w14:paraId="6A30B1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91F386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DC305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 xml:space="preserve">Частина 6. Інформація про корпоративного секретаря, а також звіт щодо результатів його </w:t>
      </w:r>
      <w:r>
        <w:rPr>
          <w:rFonts w:ascii="Times New Roman CYR" w:hAnsi="Times New Roman CYR" w:cs="Times New Roman CYR"/>
          <w:b/>
          <w:bCs/>
          <w:kern w:val="0"/>
        </w:rPr>
        <w:lastRenderedPageBreak/>
        <w:t>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0CEDEC9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DB8FF6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w:t>
            </w:r>
          </w:p>
        </w:tc>
        <w:tc>
          <w:tcPr>
            <w:tcW w:w="6500" w:type="dxa"/>
            <w:tcBorders>
              <w:top w:val="single" w:sz="6" w:space="0" w:color="auto"/>
              <w:left w:val="single" w:sz="6" w:space="0" w:color="auto"/>
              <w:bottom w:val="single" w:sz="6" w:space="0" w:color="auto"/>
            </w:tcBorders>
          </w:tcPr>
          <w:p w14:paraId="6D2A5AE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Мельник Юрiй Миколайович</w:t>
            </w:r>
          </w:p>
        </w:tc>
      </w:tr>
      <w:tr w:rsidR="00000000" w14:paraId="156060D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E9B32C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42F6E94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310E811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D6F47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210AA9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01CB0A4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47A073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Документи, які регулюють діяльність корпоративного секретаря</w:t>
            </w:r>
          </w:p>
        </w:tc>
        <w:tc>
          <w:tcPr>
            <w:tcW w:w="6500" w:type="dxa"/>
            <w:tcBorders>
              <w:top w:val="single" w:sz="6" w:space="0" w:color="auto"/>
              <w:left w:val="single" w:sz="6" w:space="0" w:color="auto"/>
              <w:bottom w:val="single" w:sz="6" w:space="0" w:color="auto"/>
            </w:tcBorders>
          </w:tcPr>
          <w:p w14:paraId="2873E9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Положення про Корпоративного секретаря </w:t>
            </w:r>
          </w:p>
        </w:tc>
      </w:tr>
      <w:tr w:rsidR="00000000" w14:paraId="7DB6775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555A8D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 який прийняв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223C488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w:t>
            </w:r>
          </w:p>
        </w:tc>
      </w:tr>
      <w:tr w:rsidR="00000000" w14:paraId="42D3E54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C0E50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2C39DC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28.12.2023 05</w:t>
            </w:r>
          </w:p>
        </w:tc>
      </w:tr>
      <w:tr w:rsidR="00000000" w14:paraId="4130B1E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60F245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затвердження звіту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1DF0FD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tc>
      </w:tr>
      <w:tr w:rsidR="00000000" w14:paraId="50D523B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425DE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положення звіту щодо результатів діяльності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3BD40B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Звiт не подавався та не затверджувався.</w:t>
            </w:r>
          </w:p>
        </w:tc>
      </w:tr>
    </w:tbl>
    <w:p w14:paraId="1BC718F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40148E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000000" w14:paraId="5F27CF8D"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6FB139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7CF854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5DC1DF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71B917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64BA6E5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пакета акцій, що знаходиться в прямому та (опосередкованому) володінні</w:t>
            </w:r>
          </w:p>
        </w:tc>
      </w:tr>
      <w:tr w:rsidR="00000000" w14:paraId="30EACFFE"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15524D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"Страхова компанiя "IНГО"</w:t>
            </w:r>
          </w:p>
        </w:tc>
        <w:tc>
          <w:tcPr>
            <w:tcW w:w="1750" w:type="dxa"/>
            <w:tcBorders>
              <w:top w:val="single" w:sz="6" w:space="0" w:color="auto"/>
              <w:left w:val="single" w:sz="6" w:space="0" w:color="auto"/>
              <w:bottom w:val="single" w:sz="6" w:space="0" w:color="auto"/>
              <w:right w:val="single" w:sz="6" w:space="0" w:color="auto"/>
            </w:tcBorders>
            <w:vAlign w:val="center"/>
          </w:tcPr>
          <w:p w14:paraId="1166D7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317230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04AAA6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20998800</w:t>
            </w:r>
          </w:p>
        </w:tc>
        <w:tc>
          <w:tcPr>
            <w:tcW w:w="1750" w:type="dxa"/>
            <w:tcBorders>
              <w:top w:val="single" w:sz="6" w:space="0" w:color="auto"/>
              <w:left w:val="single" w:sz="6" w:space="0" w:color="auto"/>
              <w:bottom w:val="single" w:sz="6" w:space="0" w:color="auto"/>
            </w:tcBorders>
            <w:vAlign w:val="center"/>
          </w:tcPr>
          <w:p w14:paraId="21B17B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99,99</w:t>
            </w:r>
          </w:p>
        </w:tc>
      </w:tr>
      <w:tr w:rsidR="00000000" w14:paraId="7D343E53"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3B3A07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Ярославський Олександр Владиленович</w:t>
            </w:r>
          </w:p>
        </w:tc>
        <w:tc>
          <w:tcPr>
            <w:tcW w:w="1750" w:type="dxa"/>
            <w:tcBorders>
              <w:top w:val="single" w:sz="6" w:space="0" w:color="auto"/>
              <w:left w:val="single" w:sz="6" w:space="0" w:color="auto"/>
              <w:bottom w:val="single" w:sz="6" w:space="0" w:color="auto"/>
              <w:right w:val="single" w:sz="6" w:space="0" w:color="auto"/>
            </w:tcBorders>
            <w:vAlign w:val="center"/>
          </w:tcPr>
          <w:p w14:paraId="3C4E37C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1FBFC2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1A98CB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20998800</w:t>
            </w:r>
          </w:p>
        </w:tc>
        <w:tc>
          <w:tcPr>
            <w:tcW w:w="1750" w:type="dxa"/>
            <w:tcBorders>
              <w:top w:val="single" w:sz="6" w:space="0" w:color="auto"/>
              <w:left w:val="single" w:sz="6" w:space="0" w:color="auto"/>
              <w:bottom w:val="single" w:sz="6" w:space="0" w:color="auto"/>
            </w:tcBorders>
            <w:vAlign w:val="center"/>
          </w:tcPr>
          <w:p w14:paraId="72CEA8F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89,99</w:t>
            </w:r>
          </w:p>
        </w:tc>
      </w:tr>
      <w:tr w:rsidR="00000000" w14:paraId="2F79D508"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584804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NFM INVESTMENT LIMITED</w:t>
            </w:r>
          </w:p>
        </w:tc>
        <w:tc>
          <w:tcPr>
            <w:tcW w:w="1750" w:type="dxa"/>
            <w:tcBorders>
              <w:top w:val="single" w:sz="6" w:space="0" w:color="auto"/>
              <w:left w:val="single" w:sz="6" w:space="0" w:color="auto"/>
              <w:bottom w:val="single" w:sz="6" w:space="0" w:color="auto"/>
              <w:right w:val="single" w:sz="6" w:space="0" w:color="auto"/>
            </w:tcBorders>
            <w:vAlign w:val="center"/>
          </w:tcPr>
          <w:p w14:paraId="5DDF3A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57D3CCA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735E73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20998800</w:t>
            </w:r>
          </w:p>
        </w:tc>
        <w:tc>
          <w:tcPr>
            <w:tcW w:w="1750" w:type="dxa"/>
            <w:tcBorders>
              <w:top w:val="single" w:sz="6" w:space="0" w:color="auto"/>
              <w:left w:val="single" w:sz="6" w:space="0" w:color="auto"/>
              <w:bottom w:val="single" w:sz="6" w:space="0" w:color="auto"/>
            </w:tcBorders>
            <w:vAlign w:val="center"/>
          </w:tcPr>
          <w:p w14:paraId="097D85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99,99</w:t>
            </w:r>
          </w:p>
        </w:tc>
      </w:tr>
    </w:tbl>
    <w:p w14:paraId="6FEE67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27F5359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0514EAA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500"/>
        <w:gridCol w:w="1500"/>
        <w:gridCol w:w="3140"/>
        <w:gridCol w:w="3160"/>
        <w:gridCol w:w="3100"/>
      </w:tblGrid>
      <w:tr w:rsidR="00000000" w14:paraId="47CDE98D"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0E7A96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14:paraId="0FDF4A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0440E0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3140" w:type="dxa"/>
            <w:tcBorders>
              <w:top w:val="single" w:sz="6" w:space="0" w:color="auto"/>
              <w:left w:val="single" w:sz="6" w:space="0" w:color="auto"/>
              <w:bottom w:val="single" w:sz="6" w:space="0" w:color="auto"/>
              <w:right w:val="single" w:sz="6" w:space="0" w:color="auto"/>
            </w:tcBorders>
            <w:vAlign w:val="center"/>
          </w:tcPr>
          <w:p w14:paraId="47EBF9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14:paraId="42D043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14:paraId="4AC6CD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Порядок призначення та звільнення посадової особи</w:t>
            </w:r>
          </w:p>
        </w:tc>
      </w:tr>
      <w:tr w:rsidR="00000000" w14:paraId="0E5CD1E9"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41858F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Рулiкiвська Наталiя Iванiвна</w:t>
            </w:r>
          </w:p>
        </w:tc>
        <w:tc>
          <w:tcPr>
            <w:tcW w:w="1500" w:type="dxa"/>
            <w:tcBorders>
              <w:top w:val="single" w:sz="6" w:space="0" w:color="auto"/>
              <w:left w:val="single" w:sz="6" w:space="0" w:color="auto"/>
              <w:bottom w:val="single" w:sz="6" w:space="0" w:color="auto"/>
              <w:right w:val="single" w:sz="6" w:space="0" w:color="auto"/>
            </w:tcBorders>
            <w:vAlign w:val="center"/>
          </w:tcPr>
          <w:p w14:paraId="3BDC34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09CB35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53D84EE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Головний бухгалтер призначений наказом Генерального директора Товариства </w:t>
            </w:r>
          </w:p>
          <w:p w14:paraId="2C57A7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60" w:type="dxa"/>
            <w:tcBorders>
              <w:top w:val="single" w:sz="6" w:space="0" w:color="auto"/>
              <w:left w:val="single" w:sz="6" w:space="0" w:color="auto"/>
              <w:bottom w:val="single" w:sz="6" w:space="0" w:color="auto"/>
              <w:right w:val="single" w:sz="6" w:space="0" w:color="auto"/>
            </w:tcBorders>
            <w:vAlign w:val="center"/>
          </w:tcPr>
          <w:p w14:paraId="39CEDE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Посадовi особи Товариства </w:t>
            </w:r>
          </w:p>
          <w:p w14:paraId="503E07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виконують повноваження, </w:t>
            </w:r>
          </w:p>
          <w:p w14:paraId="76B349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передбаченi законодавством </w:t>
            </w:r>
          </w:p>
          <w:p w14:paraId="5722A75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України, Статутом Товариства, трудовим договором або контрактом та вiдповiдними посадовими iнструкцiями.</w:t>
            </w:r>
          </w:p>
        </w:tc>
        <w:tc>
          <w:tcPr>
            <w:tcW w:w="3100" w:type="dxa"/>
            <w:tcBorders>
              <w:top w:val="single" w:sz="6" w:space="0" w:color="auto"/>
              <w:left w:val="single" w:sz="6" w:space="0" w:color="auto"/>
              <w:bottom w:val="single" w:sz="6" w:space="0" w:color="auto"/>
            </w:tcBorders>
            <w:vAlign w:val="center"/>
          </w:tcPr>
          <w:p w14:paraId="677BAB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Призначення та звiльнення посадової особи здiйснюється  наказом Генерального директора</w:t>
            </w:r>
          </w:p>
        </w:tc>
      </w:tr>
      <w:tr w:rsidR="00000000" w14:paraId="2D3472EC"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19ED8B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Мельник Юрiй Миколайович</w:t>
            </w:r>
          </w:p>
        </w:tc>
        <w:tc>
          <w:tcPr>
            <w:tcW w:w="1500" w:type="dxa"/>
            <w:tcBorders>
              <w:top w:val="single" w:sz="6" w:space="0" w:color="auto"/>
              <w:left w:val="single" w:sz="6" w:space="0" w:color="auto"/>
              <w:bottom w:val="single" w:sz="6" w:space="0" w:color="auto"/>
              <w:right w:val="single" w:sz="6" w:space="0" w:color="auto"/>
            </w:tcBorders>
            <w:vAlign w:val="center"/>
          </w:tcPr>
          <w:p w14:paraId="48FEF5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782DAB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0B0E2B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Корпоративний секретар </w:t>
            </w:r>
          </w:p>
          <w:p w14:paraId="399C5C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призначений рiшенням </w:t>
            </w:r>
          </w:p>
          <w:p w14:paraId="3E8284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наглядової ради Товариства </w:t>
            </w:r>
          </w:p>
          <w:p w14:paraId="3029CE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28.12.2023 р. (протокол 05).</w:t>
            </w:r>
          </w:p>
        </w:tc>
        <w:tc>
          <w:tcPr>
            <w:tcW w:w="3160" w:type="dxa"/>
            <w:tcBorders>
              <w:top w:val="single" w:sz="6" w:space="0" w:color="auto"/>
              <w:left w:val="single" w:sz="6" w:space="0" w:color="auto"/>
              <w:bottom w:val="single" w:sz="6" w:space="0" w:color="auto"/>
              <w:right w:val="single" w:sz="6" w:space="0" w:color="auto"/>
            </w:tcBorders>
            <w:vAlign w:val="center"/>
          </w:tcPr>
          <w:p w14:paraId="4EDB27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Посадовi особи Товариства </w:t>
            </w:r>
          </w:p>
          <w:p w14:paraId="48986AE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виконують повноваження, </w:t>
            </w:r>
          </w:p>
          <w:p w14:paraId="1A4AAA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передбаченi законодавством </w:t>
            </w:r>
          </w:p>
          <w:p w14:paraId="3D87C7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України, Статутом </w:t>
            </w:r>
          </w:p>
          <w:p w14:paraId="1CFF4B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трудовим </w:t>
            </w:r>
          </w:p>
          <w:p w14:paraId="090CFB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договором або контрактом та </w:t>
            </w:r>
          </w:p>
          <w:p w14:paraId="521A39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вiдповiдними посадовими iнструкцiями.</w:t>
            </w:r>
          </w:p>
        </w:tc>
        <w:tc>
          <w:tcPr>
            <w:tcW w:w="3100" w:type="dxa"/>
            <w:tcBorders>
              <w:top w:val="single" w:sz="6" w:space="0" w:color="auto"/>
              <w:left w:val="single" w:sz="6" w:space="0" w:color="auto"/>
              <w:bottom w:val="single" w:sz="6" w:space="0" w:color="auto"/>
            </w:tcBorders>
            <w:vAlign w:val="center"/>
          </w:tcPr>
          <w:p w14:paraId="530A39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Призначення та звiльнення </w:t>
            </w:r>
          </w:p>
          <w:p w14:paraId="4A4DB9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корпоративного секретаря </w:t>
            </w:r>
          </w:p>
          <w:p w14:paraId="22C5B19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здiйснюється за рiшенням </w:t>
            </w:r>
          </w:p>
          <w:p w14:paraId="153BAB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наглядової ради Товариства.</w:t>
            </w:r>
          </w:p>
          <w:p w14:paraId="2D36DF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50298B1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64C9FC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33F6D91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73A2162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FF33E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51B6FA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000000" w14:paraId="64CDFE6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C3911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245826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Рижова Тетяна Сергiївна</w:t>
            </w:r>
          </w:p>
        </w:tc>
      </w:tr>
      <w:tr w:rsidR="00000000" w14:paraId="2F9472C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DA54CB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597D1B7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52F9F84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D0463D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5C76C1E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410AC0A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AB5FC6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12A0E1F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Генеральний директор</w:t>
            </w:r>
          </w:p>
        </w:tc>
      </w:tr>
      <w:tr w:rsidR="00000000" w14:paraId="6B7EFC4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48E09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6800385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05.03.2012</w:t>
            </w:r>
          </w:p>
        </w:tc>
      </w:tr>
      <w:tr w:rsidR="00000000" w14:paraId="64493AE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1A2493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9DF15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845888,64</w:t>
            </w:r>
          </w:p>
          <w:p w14:paraId="0E59DEC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28C3380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04471E5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866CD3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ADBDA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6F679A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t>V</w:t>
            </w:r>
          </w:p>
          <w:p w14:paraId="7492F7B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536A81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5CDC18A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02AAC0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6BB11F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0510643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0E21A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5D103C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52E05C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54DAB16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763A76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051AE6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460888,64</w:t>
            </w:r>
          </w:p>
          <w:p w14:paraId="7415170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6820FEC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11D9475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4D443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3E38620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385000</w:t>
            </w:r>
          </w:p>
          <w:p w14:paraId="1415D7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24E8CB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1A542A7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791C8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0EB6EAA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Досягнення запланових показникiв щодо фiнансово-господарської дiяльностi Товариства</w:t>
            </w:r>
          </w:p>
        </w:tc>
      </w:tr>
      <w:tr w:rsidR="00000000" w14:paraId="4FCFC62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9EEA48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432A7B7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або ж компенсацiя, якi мають бути виплаченi у разi звiльнення встановленi умовами договору (контракту) укладеного з Генеральним директором</w:t>
            </w:r>
          </w:p>
        </w:tc>
      </w:tr>
      <w:tr w:rsidR="00000000" w14:paraId="2C9D4BB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0F156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75933D2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 про винагороду за звiтний перiод Наглядовою радою не затверджувався.</w:t>
            </w:r>
          </w:p>
        </w:tc>
      </w:tr>
    </w:tbl>
    <w:p w14:paraId="296FA4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15</w:t>
      </w:r>
    </w:p>
    <w:p w14:paraId="3B0FFC5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F5178D7"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Частина 14. Інформація від суб'єкта аудиторської діяльності з урахуванням вимог, передбачених пунктом 45 Положення</w:t>
      </w:r>
    </w:p>
    <w:p w14:paraId="2395B0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Вiдповiдно до результатiв нашого аудиту, всi виявленi ризики, що є значущими (за нашими професiйними судженнями), були обговоренi з найвищим управлiнським персоналом Товариства, тi з них, якi потребували коригувань у фiнансовiй звiтностi, вiдкоригованi, тi, що потребували значної уваги додатково описанi у роздiлах "Суттєва невизначенiсть, що стосується безперервностi дiяльностi" та "Пояснювальнi параграфи" нашого звiту. За результатами аудиту нами не встановлено фактiв та обставин, якi б свiдчили про наявн</w:t>
      </w:r>
      <w:r>
        <w:rPr>
          <w:rFonts w:ascii="Times New Roman CYR" w:hAnsi="Times New Roman CYR" w:cs="Times New Roman CYR"/>
          <w:kern w:val="0"/>
        </w:rPr>
        <w:t xml:space="preserve">iсть порушень та суттєвого викривлення фiнансової звiтностi за рiк, що закiнчився 31 грудня 2024 року, внаслiдок шахрайства. Додатковий звiт для Наглядової ради Товариства Ми пiдтверджуємо, що цей звiт незалежного аудитора узгоджений з додатковим звiтом для Наглядової ради Товариства. </w:t>
      </w:r>
    </w:p>
    <w:p w14:paraId="408E50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Звiтування щодо вимог НКЦПФР</w:t>
      </w:r>
    </w:p>
    <w:p w14:paraId="2EA427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Повне найменування юридичної особи: АКЦIОНЕРНЕ ТОВАРИСТВО "ЦЕНТР ФIН СЕРВIС", iдентифiкацiйний код 35333145. </w:t>
      </w:r>
    </w:p>
    <w:p w14:paraId="6A79FD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Товариство не є пiдприємством, що становить суспiльний iнтерес, вiдповiдно до Закону України "Про бухгалтерський облiк та фiнансову звiтнiсть в Українi". </w:t>
      </w:r>
    </w:p>
    <w:p w14:paraId="650890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Товариство було учасником банкiвської групи "Кредит Днiпро", до складу якої також входять АТ "Банк Кредит Днiпро", АТ "Страхова Компанiя "IНГО" ПАТ "Нацiональна Акцiонерна Страхова Компанiя "Оранта", ТОВ "Українська металургiйна компанiя" та ТОВ КУА "Герiтiдж Iнвестмент Менеджмент". </w:t>
      </w:r>
    </w:p>
    <w:p w14:paraId="148F2D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материнською компанiєю Товариства (акцiонером, якому належить 99% акцiй Товариства) було АТ "Страхова Компанiя "IНГО", iдентифiкацiйний код 16285602, про що зазначено у примiтках до фiнансової звiтностi. </w:t>
      </w:r>
    </w:p>
    <w:p w14:paraId="53D00D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кiнцевим бенефiцiарним власником (контролером) Товариства був громадянин України Ярославський Олександр Владиленович, про що зазначено у примiтках до фiнансової звiтностi. </w:t>
      </w:r>
    </w:p>
    <w:p w14:paraId="6F9E83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статутний капiтал Товариства сформований та сплачений в повному обсязi, розмiр статутного капiталу вiдповiдає установчим документам Товариства та законодавчо встановленим вимогам. </w:t>
      </w:r>
    </w:p>
    <w:p w14:paraId="2F158B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статутний капiтал Товариства становив 21 000 тис. грн та складався з 210 000 простих iменних акцiй номiнальною вартiстю 100 грн кожна. </w:t>
      </w:r>
    </w:p>
    <w:p w14:paraId="688BB25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Станом на 31 грудня 2024 року Товариство не мало дочiрнiх компанiй. Iнформацiю про фiнансовi iнвестицiї Товариства розкрито у примiтках до фiнансової звiтностi. </w:t>
      </w:r>
    </w:p>
    <w:p w14:paraId="5245DE9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Пiсля дати балансу не вiдбувалося жодних подiй, якi не знайшли вiдображення у фiнансовiй звiтностi, проте могли б мати суттєвий вплив на фiнансовий стан Товариства, окрiм тих, iнформацiя про якi розкрита у примiтках до фiнансової звiтностi. </w:t>
      </w:r>
    </w:p>
    <w:p w14:paraId="5D7934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Нам невiдомо про наявнiсть будь-яких iнших фактiв та обставин, якi можуть суттєво вплинути на дiяльнiсть Товариства у майбутньому, окрiм тих, iнформацiя про якi розкрита у примiтках до фiнансової звiтностi. </w:t>
      </w:r>
    </w:p>
    <w:p w14:paraId="0DCDBC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o На основi проведеної нами роботи у зв'язку з аудитом фiнансової звiтностi Товариства, на нашу думку, Звiт про управлiння є узгодженим, у всiх суттєвих аспектах, з фiнансовою звiтнiстю та не мiстить суттєвих викривлень, окрiм можливого впливу питань, описаних у роздiлах "Суттєва невизначенiсть, що стосується безперервностi дiяльностi" та "Пояснювальнi параграфи" цього звiту на фiнансову звiтнiсть та, вiдповiдно, Звiт про управлiння.</w:t>
      </w:r>
    </w:p>
    <w:p w14:paraId="28D75A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Звiт про управлiння мiстить вiдомостi про корпоративне управлiння вiдповiдно до вимог Закону України "Про фiнансовi послуги та державне регулювання ринкiв фiнансових послуг". </w:t>
      </w:r>
    </w:p>
    <w:p w14:paraId="68B4C3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o Товариством було розроблено та ухвалено Корпоративний кодекс, основною метою розробки якого було прагнення регламентацiї процесу функцiонування системи корпоративного управлiння та створення механiзмiв її подальшого вдосконалення для забезпечення прав i iнтересiв акцiонерiв Товариства, пiдвищення ефективностi ведення бiзнесу, збiльшення рiвня прозоростi та iнвестицiйної привабливостi Товариства, збереження та примноження акцiонерного капiталу.</w:t>
      </w:r>
    </w:p>
    <w:p w14:paraId="79B8AB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Складання таксономiї фiнансової звiтностi пiдприємствами, якi застосовують МСФЗ </w:t>
      </w:r>
    </w:p>
    <w:p w14:paraId="3C8D5F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Вiдповiдно до пункту 5 статтi 121 Закону України "Про бухгалтерський облiк та фiнансову звiтнiсть в Українi", пiдприємства, якi для складання фiнансової звiтностi застосовують МСФЗ, складають i подають фiнансову звiтнiсть органам державної влади та iншим користувачам на їх вимогу на основi </w:t>
      </w:r>
      <w:r>
        <w:rPr>
          <w:rFonts w:ascii="Times New Roman CYR" w:hAnsi="Times New Roman CYR" w:cs="Times New Roman CYR"/>
          <w:kern w:val="0"/>
        </w:rPr>
        <w:lastRenderedPageBreak/>
        <w:t>таксономiї фiнансової звiтностi за мiжнародними стандартами в єдиному електронному форматi, визначеному Мiнiстерством фiнансiв України (формат iXBRL). Товариство планує подати окрему фiнансову звiтнiсть у зазначеному форматi пiсля дати нашого звiту незалежного аудитора.</w:t>
      </w:r>
    </w:p>
    <w:p w14:paraId="169B81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ВIДОМОСТI ПРО СУБ'ЄКТ АУДИТОРСЬКОЇ ДIЯЛЬНОСТI</w:t>
      </w:r>
    </w:p>
    <w:p w14:paraId="66C3102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Повне найменування аудиторської фiрми ТОВАРИСТВО З ОБМЕЖЕНОЮ ВIДПОВIДАЛЬНIСТЮ "ЛУКАС АУДИТ"</w:t>
      </w:r>
    </w:p>
    <w:p w14:paraId="64501C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Iдентифiкацiйний код юридичної особи 19029087</w:t>
      </w:r>
    </w:p>
    <w:p w14:paraId="70570E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Юридична та фактична адреса Україна, м. Київ, пл. Спортивна, 1а, 17 поверх</w:t>
      </w:r>
    </w:p>
    <w:p w14:paraId="56CA5D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Вебсайт www.lucasua.com</w:t>
      </w:r>
    </w:p>
    <w:p w14:paraId="2C6F17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включення до реєстру реєстрацiя у Реєстрi аудиторiв та суб'єктiв аудиторської дiяльностi у роздiлi суб'єкти аудиторської дiяльностi, якi мають право проводити обов'язковий аудит фiнансової звiтностi № 1000</w:t>
      </w:r>
    </w:p>
    <w:p w14:paraId="3CD27D9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Ключовим партнером з аудиту, вiдповiдальним за завдання з аудиту, за результатами якого випущено цей звiт незалежного аудитора є Катчик Андрiй Трифонович.</w:t>
      </w:r>
    </w:p>
    <w:p w14:paraId="7229103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 iменi ТОВ "ЛУКАС АУДИТ" Андрiй Катчик Директор Номер реєстрацiї аудитора у Реєстрi аудиторiв та суб'єктiв аудиторської дiяльностi №101002 29 травня 2026 року</w:t>
      </w:r>
    </w:p>
    <w:p w14:paraId="2C5F688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33970AF"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Частина 15. Інформація, передбачена законодавством про діяльність та регулювання діяльності на ринку фінансових послуг</w:t>
      </w:r>
    </w:p>
    <w:p w14:paraId="2DA4D6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Керiвництво Акцiонерного товариства "ЦЕНТР ФIН СЕРВIС" (далi Товариство) несе вiдповiдальнiсть за пiдготовку фiнансової звiтностi Товариства за рiк, що закiнчився 31 грудня 2024 року, вiдповiдно до Мiжнародних стандартiв фiнансової звiтностi (далi МСФЗ). Пiд час пiдготовки фiнансової звiтностi у вiдповiдностi до МСФЗ керiвництво Товариства несе вiдповiдальнiсть за: </w:t>
      </w:r>
    </w:p>
    <w:p w14:paraId="27C68A3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o</w:t>
      </w:r>
      <w:r>
        <w:rPr>
          <w:rFonts w:ascii="Times New Roman CYR" w:hAnsi="Times New Roman CYR" w:cs="Times New Roman CYR"/>
          <w:kern w:val="0"/>
        </w:rPr>
        <w:t xml:space="preserve"> вибiр належних принципiв бухгалтерського облiку та їх послiдовне застосування; </w:t>
      </w:r>
    </w:p>
    <w:p w14:paraId="06B0B7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застосування обгрунтованих оцiнок i суджень; </w:t>
      </w:r>
    </w:p>
    <w:p w14:paraId="4471C06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дотримання принципiв МСФЗ або розкриття всiх суттєвих вiдхилень вiд МСФЗ; </w:t>
      </w:r>
    </w:p>
    <w:p w14:paraId="5AEE05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пiдготовку фiнансової звiтностi вiдповiдно до МСФЗ, згiдно припущення, що Товариство' i далi буде здiйснювати свою дiяльнiсть у найближчому майбутньому, за виключенням випадкiв, коли таке припущення не буде правомiрним; </w:t>
      </w:r>
    </w:p>
    <w:p w14:paraId="784F5B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облiк та розкриття у фiнансовiй звiтностi всiх вiдносин та операцiй з пов'язаними сторонами; </w:t>
      </w:r>
    </w:p>
    <w:p w14:paraId="176DA4F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облiк та розкриття у фiнансовiй звiтностi всiх подiй пiсля дати балансу, якi вимагають корегування або розкриття; </w:t>
      </w:r>
    </w:p>
    <w:p w14:paraId="645F2A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розкриття всiх претензiй у зв'язку з судовими позовами, якi були, або, можливi в найближчому майбутньому; </w:t>
      </w:r>
    </w:p>
    <w:p w14:paraId="31EE00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достовiрне розкриття в фiнансовiй звiтностi iнформацiї про всi наданi кредити або гарантiї вiд iменi керiвництва. Керiвництво, в межах своєї компетенцiї, також несе вiдповiдальнiсть за: </w:t>
      </w:r>
    </w:p>
    <w:p w14:paraId="12975C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розробку, впровадження та забезпечення функцiонування ефективної i надiйної системи внутрiшнього контролю; </w:t>
      </w:r>
    </w:p>
    <w:p w14:paraId="53CAB7E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ведення бухгалтерського облiку вiдповiдно до вимог законодавства та стандартiв бухгалтерського облiку України; </w:t>
      </w:r>
    </w:p>
    <w:p w14:paraId="22FD0F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прийняття заходiв у межах своєї компетенцiї для захисту активiв Товариства; </w:t>
      </w:r>
    </w:p>
    <w:p w14:paraId="614B564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o виявлення та попередження фактiв шахрайства та iнших зловживань. Фiнансова звiтнiсть за рiк, що закiнчився 31 грудня 2024 року, була затверджена 31 сiчня 2025 року. </w:t>
      </w:r>
    </w:p>
    <w:p w14:paraId="22393CB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8DAA29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469CC64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
        <w:gridCol w:w="4700"/>
        <w:gridCol w:w="5000"/>
      </w:tblGrid>
      <w:tr w:rsidR="00000000" w14:paraId="0806E67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076FBE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9700" w:type="dxa"/>
            <w:gridSpan w:val="2"/>
            <w:tcBorders>
              <w:top w:val="single" w:sz="6" w:space="0" w:color="auto"/>
              <w:left w:val="single" w:sz="6" w:space="0" w:color="auto"/>
              <w:bottom w:val="single" w:sz="6" w:space="0" w:color="auto"/>
            </w:tcBorders>
          </w:tcPr>
          <w:p w14:paraId="64E388E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Оцінка діяльності щодо захисту довкілля та соціальної відповідальності за звітний період:</w:t>
            </w:r>
          </w:p>
        </w:tc>
      </w:tr>
      <w:tr w:rsidR="00000000" w14:paraId="1F824050"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0BC475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0AD94BF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Робота в напрямку захисту довкiлля проводилась в таких напрямках як економiчне </w:t>
            </w:r>
          </w:p>
          <w:p w14:paraId="4D43D7C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використання електрики, водопостачання; використання екологiчного опалення </w:t>
            </w:r>
          </w:p>
          <w:p w14:paraId="3EBA156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примiщення офiсу, використання паперу вторинної переробки. Цiлi та результати були </w:t>
            </w:r>
          </w:p>
          <w:p w14:paraId="03D50D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досягнутi за звiтний перiод</w:t>
            </w:r>
          </w:p>
        </w:tc>
      </w:tr>
      <w:tr w:rsidR="00000000" w14:paraId="622164B6"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2EA13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9700" w:type="dxa"/>
            <w:gridSpan w:val="2"/>
            <w:tcBorders>
              <w:top w:val="single" w:sz="6" w:space="0" w:color="auto"/>
              <w:left w:val="single" w:sz="6" w:space="0" w:color="auto"/>
              <w:bottom w:val="single" w:sz="6" w:space="0" w:color="auto"/>
            </w:tcBorders>
          </w:tcPr>
          <w:p w14:paraId="48EDB40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000000" w14:paraId="7DA59145"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36217B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3D9DE1D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14:paraId="6CEDBB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Ризики щодо захисту довкiлля та соцiальної вiдповiдальностi, якi мають вплив на особу </w:t>
            </w:r>
          </w:p>
          <w:p w14:paraId="77406D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вiдсутнi.</w:t>
            </w:r>
          </w:p>
        </w:tc>
      </w:tr>
      <w:tr w:rsidR="00000000" w14:paraId="57044B31"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53C311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7D8D058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14:paraId="261A2C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Заходи, якi планується здiйснити / </w:t>
            </w:r>
          </w:p>
          <w:p w14:paraId="5520077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здiйснюються для мiнiмiзацiї/усунення </w:t>
            </w:r>
          </w:p>
          <w:p w14:paraId="48CC0C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кожного iз ризикiв вiдсутнi.</w:t>
            </w:r>
          </w:p>
        </w:tc>
      </w:tr>
      <w:tr w:rsidR="00000000" w14:paraId="7B75722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5AC5821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9700" w:type="dxa"/>
            <w:gridSpan w:val="2"/>
            <w:tcBorders>
              <w:top w:val="single" w:sz="6" w:space="0" w:color="auto"/>
              <w:left w:val="single" w:sz="6" w:space="0" w:color="auto"/>
              <w:bottom w:val="single" w:sz="6" w:space="0" w:color="auto"/>
            </w:tcBorders>
          </w:tcPr>
          <w:p w14:paraId="661CD7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положення політики з питань захисту довкілля та соціальної відповідальності:</w:t>
            </w:r>
          </w:p>
        </w:tc>
      </w:tr>
      <w:tr w:rsidR="00000000" w14:paraId="2475BA3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3A98E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7ABB45A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14:paraId="7D6B71E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Емiтентом у звiтному перiодi не </w:t>
            </w:r>
          </w:p>
          <w:p w14:paraId="1DFD96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затверджувались вiдповiднi полiтики.</w:t>
            </w:r>
          </w:p>
        </w:tc>
      </w:tr>
      <w:tr w:rsidR="00000000" w14:paraId="4B073CE4"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5375D9B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9700" w:type="dxa"/>
            <w:gridSpan w:val="2"/>
            <w:tcBorders>
              <w:top w:val="single" w:sz="6" w:space="0" w:color="auto"/>
              <w:left w:val="single" w:sz="6" w:space="0" w:color="auto"/>
              <w:bottom w:val="single" w:sz="6" w:space="0" w:color="auto"/>
            </w:tcBorders>
          </w:tcPr>
          <w:p w14:paraId="6B2D7C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000000" w14:paraId="6F19447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FB7CE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797105E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7FFD65C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звiтному перiодi не </w:t>
            </w:r>
          </w:p>
          <w:p w14:paraId="3736A04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розглядались питання щодо захисту довкiлля </w:t>
            </w:r>
          </w:p>
          <w:p w14:paraId="45AF3F3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 соцiальної вiдповiдальностi</w:t>
            </w:r>
          </w:p>
        </w:tc>
      </w:tr>
      <w:tr w:rsidR="00000000" w14:paraId="1B76D5F5"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3764BC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2EAD205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42BF08E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у звiтному перiодi не </w:t>
            </w:r>
          </w:p>
          <w:p w14:paraId="35C4F7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розглядались питання щодо захисту довкiлля </w:t>
            </w:r>
          </w:p>
          <w:p w14:paraId="60619A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 соцiальної вiдповiдальностi.</w:t>
            </w:r>
          </w:p>
        </w:tc>
      </w:tr>
      <w:tr w:rsidR="00000000" w14:paraId="64D15177"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38FAD0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9700" w:type="dxa"/>
            <w:gridSpan w:val="2"/>
            <w:tcBorders>
              <w:top w:val="single" w:sz="6" w:space="0" w:color="auto"/>
              <w:left w:val="single" w:sz="6" w:space="0" w:color="auto"/>
              <w:bottom w:val="single" w:sz="6" w:space="0" w:color="auto"/>
            </w:tcBorders>
          </w:tcPr>
          <w:p w14:paraId="092ED5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ключових стейкхолдерів, на яких має вплив діяльність особи із зазначенням обґрунтування в чому саме полягає такий вплив:</w:t>
            </w:r>
          </w:p>
        </w:tc>
      </w:tr>
      <w:tr w:rsidR="00000000" w14:paraId="5576A288"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4D2F2B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25B0550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Така iнформацiя у Товариства вiдсутня.</w:t>
            </w:r>
          </w:p>
          <w:p w14:paraId="78BBBE0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tc>
      </w:tr>
      <w:tr w:rsidR="00000000" w14:paraId="3D27DA39"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434623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9700" w:type="dxa"/>
            <w:gridSpan w:val="2"/>
            <w:tcBorders>
              <w:top w:val="single" w:sz="6" w:space="0" w:color="auto"/>
              <w:left w:val="single" w:sz="6" w:space="0" w:color="auto"/>
              <w:bottom w:val="single" w:sz="6" w:space="0" w:color="auto"/>
            </w:tcBorders>
          </w:tcPr>
          <w:p w14:paraId="74BACBC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000000" w14:paraId="04706502"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3CEB83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3215ABE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Така iнформацiя у Товариства вiдсутня</w:t>
            </w:r>
          </w:p>
        </w:tc>
      </w:tr>
      <w:tr w:rsidR="00000000" w14:paraId="2E1DB6C1"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66DFB8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9700" w:type="dxa"/>
            <w:gridSpan w:val="2"/>
            <w:tcBorders>
              <w:top w:val="single" w:sz="6" w:space="0" w:color="auto"/>
              <w:left w:val="single" w:sz="6" w:space="0" w:color="auto"/>
              <w:bottom w:val="single" w:sz="6" w:space="0" w:color="auto"/>
            </w:tcBorders>
          </w:tcPr>
          <w:p w14:paraId="2FA37D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положення політики щодо взаємодії зі стейкхолдерами, у тому числі акціонерами/учасниками:</w:t>
            </w:r>
          </w:p>
        </w:tc>
      </w:tr>
      <w:tr w:rsidR="00000000" w14:paraId="4246FAA2" w14:textId="77777777">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14:paraId="44F8D4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18EC74B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Полiтика щодо взаємодiї зi стейкхолдерами не затверджувалась.</w:t>
            </w:r>
          </w:p>
        </w:tc>
      </w:tr>
    </w:tbl>
    <w:p w14:paraId="3809E46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6E8B3AA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5. Перелік посилань на внутрішні документи особи, що розміщені на вебсайті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3100"/>
      </w:tblGrid>
      <w:tr w:rsidR="00000000" w14:paraId="7C543852"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6E56C5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11EC6A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35BDB88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14:paraId="4A5D67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URL-адреса вебсайту особи, за якою розміщено внутрішній документ</w:t>
            </w:r>
          </w:p>
        </w:tc>
      </w:tr>
      <w:tr w:rsidR="00000000" w14:paraId="2E4F06DB"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4601AF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49B8A7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4C0021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100" w:type="dxa"/>
            <w:tcBorders>
              <w:top w:val="single" w:sz="6" w:space="0" w:color="auto"/>
              <w:left w:val="single" w:sz="6" w:space="0" w:color="auto"/>
              <w:bottom w:val="single" w:sz="6" w:space="0" w:color="auto"/>
            </w:tcBorders>
            <w:vAlign w:val="center"/>
          </w:tcPr>
          <w:p w14:paraId="3C128A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1B846FA5"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28C6C3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6C3C160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w:t>
            </w:r>
          </w:p>
        </w:tc>
        <w:tc>
          <w:tcPr>
            <w:tcW w:w="3200" w:type="dxa"/>
            <w:tcBorders>
              <w:top w:val="single" w:sz="6" w:space="0" w:color="auto"/>
              <w:left w:val="single" w:sz="6" w:space="0" w:color="auto"/>
              <w:bottom w:val="single" w:sz="6" w:space="0" w:color="auto"/>
              <w:right w:val="single" w:sz="6" w:space="0" w:color="auto"/>
            </w:tcBorders>
            <w:vAlign w:val="center"/>
          </w:tcPr>
          <w:p w14:paraId="58251C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Юридичний статус та </w:t>
            </w:r>
          </w:p>
          <w:p w14:paraId="22BC6E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вiдповiдальнiсть Товариства, </w:t>
            </w:r>
          </w:p>
          <w:p w14:paraId="31EDAF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мета та предмет дiяльностi </w:t>
            </w:r>
          </w:p>
          <w:p w14:paraId="06772E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статутний капiтал </w:t>
            </w:r>
          </w:p>
          <w:p w14:paraId="252D45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та акцiї Товариства, права та </w:t>
            </w:r>
          </w:p>
          <w:p w14:paraId="54D762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обов'язки акцiонерiв </w:t>
            </w:r>
          </w:p>
          <w:p w14:paraId="65FA1C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страховi резерви </w:t>
            </w:r>
          </w:p>
          <w:p w14:paraId="471D5E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порядок розподiлу </w:t>
            </w:r>
          </w:p>
          <w:p w14:paraId="4CCF0A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прибутку i покриття збиткiв </w:t>
            </w:r>
          </w:p>
          <w:p w14:paraId="3DDD50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органи </w:t>
            </w:r>
          </w:p>
          <w:p w14:paraId="6E787B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Загальнi збори </w:t>
            </w:r>
          </w:p>
          <w:p w14:paraId="1F17B7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акцiонерiв, Наглядова рада </w:t>
            </w:r>
          </w:p>
          <w:p w14:paraId="6BE43A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Правлiння </w:t>
            </w:r>
          </w:p>
          <w:p w14:paraId="2D939E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фiнансовий </w:t>
            </w:r>
          </w:p>
          <w:p w14:paraId="132E9A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монiторинг, припинення </w:t>
            </w:r>
          </w:p>
          <w:p w14:paraId="7DFBDF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внесення змiн до </w:t>
            </w:r>
          </w:p>
          <w:p w14:paraId="42B56A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Статуту Товариства.</w:t>
            </w:r>
          </w:p>
          <w:p w14:paraId="44C097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00" w:type="dxa"/>
            <w:tcBorders>
              <w:top w:val="single" w:sz="6" w:space="0" w:color="auto"/>
              <w:left w:val="single" w:sz="6" w:space="0" w:color="auto"/>
              <w:bottom w:val="single" w:sz="6" w:space="0" w:color="auto"/>
            </w:tcBorders>
            <w:vAlign w:val="center"/>
          </w:tcPr>
          <w:p w14:paraId="2B81541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r w:rsidR="00000000" w14:paraId="564D1BDF"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42BBCC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39A625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Внутрiшнi документи щодо </w:t>
            </w:r>
            <w:r>
              <w:rPr>
                <w:rFonts w:ascii="Times New Roman CYR" w:hAnsi="Times New Roman CYR" w:cs="Times New Roman CYR"/>
                <w:kern w:val="0"/>
                <w:sz w:val="22"/>
                <w:szCs w:val="22"/>
              </w:rPr>
              <w:lastRenderedPageBreak/>
              <w:t>системи управлiння Товариством</w:t>
            </w:r>
          </w:p>
        </w:tc>
        <w:tc>
          <w:tcPr>
            <w:tcW w:w="3200" w:type="dxa"/>
            <w:tcBorders>
              <w:top w:val="single" w:sz="6" w:space="0" w:color="auto"/>
              <w:left w:val="single" w:sz="6" w:space="0" w:color="auto"/>
              <w:bottom w:val="single" w:sz="6" w:space="0" w:color="auto"/>
              <w:right w:val="single" w:sz="6" w:space="0" w:color="auto"/>
            </w:tcBorders>
            <w:vAlign w:val="center"/>
          </w:tcPr>
          <w:p w14:paraId="35F80C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Положення про Наглядову </w:t>
            </w:r>
            <w:r>
              <w:rPr>
                <w:rFonts w:ascii="Times New Roman CYR" w:hAnsi="Times New Roman CYR" w:cs="Times New Roman CYR"/>
                <w:kern w:val="0"/>
                <w:sz w:val="22"/>
                <w:szCs w:val="22"/>
              </w:rPr>
              <w:lastRenderedPageBreak/>
              <w:t>раду, Положення про Генерального директора, Принципи корпоративного управлiння</w:t>
            </w:r>
          </w:p>
          <w:p w14:paraId="07F3A6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АКЦIОНЕРНЕ ТОВАРИСТВО "СТРАХОВА КОМПАНIЯ "IНГО ЖИТТЯ" </w:t>
            </w:r>
          </w:p>
          <w:p w14:paraId="295094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00" w:type="dxa"/>
            <w:tcBorders>
              <w:top w:val="single" w:sz="6" w:space="0" w:color="auto"/>
              <w:left w:val="single" w:sz="6" w:space="0" w:color="auto"/>
              <w:bottom w:val="single" w:sz="6" w:space="0" w:color="auto"/>
            </w:tcBorders>
            <w:vAlign w:val="center"/>
          </w:tcPr>
          <w:p w14:paraId="135245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https://life.ingo.ua/about#docum</w:t>
            </w:r>
            <w:r>
              <w:rPr>
                <w:rFonts w:ascii="Times New Roman CYR" w:hAnsi="Times New Roman CYR" w:cs="Times New Roman CYR"/>
                <w:kern w:val="0"/>
                <w:sz w:val="22"/>
                <w:szCs w:val="22"/>
              </w:rPr>
              <w:lastRenderedPageBreak/>
              <w:t>entation</w:t>
            </w:r>
          </w:p>
        </w:tc>
      </w:tr>
    </w:tbl>
    <w:p w14:paraId="673315A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2DD260C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VI. Список посилань на регульовану інформацію, яка була розкрита протягом звітного року</w:t>
      </w:r>
    </w:p>
    <w:p w14:paraId="7AD7026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14:paraId="74B94A71"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58473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65586A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0BFBB3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52251C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000000" w14:paraId="6BE351C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369BB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vAlign w:val="center"/>
          </w:tcPr>
          <w:p w14:paraId="0A51A1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500" w:type="dxa"/>
            <w:tcBorders>
              <w:top w:val="single" w:sz="6" w:space="0" w:color="auto"/>
              <w:left w:val="single" w:sz="6" w:space="0" w:color="auto"/>
              <w:bottom w:val="single" w:sz="6" w:space="0" w:color="auto"/>
              <w:right w:val="single" w:sz="6" w:space="0" w:color="auto"/>
            </w:tcBorders>
            <w:vAlign w:val="center"/>
          </w:tcPr>
          <w:p w14:paraId="78B195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5500" w:type="dxa"/>
            <w:tcBorders>
              <w:top w:val="single" w:sz="6" w:space="0" w:color="auto"/>
              <w:left w:val="single" w:sz="6" w:space="0" w:color="auto"/>
              <w:bottom w:val="single" w:sz="6" w:space="0" w:color="auto"/>
            </w:tcBorders>
            <w:vAlign w:val="center"/>
          </w:tcPr>
          <w:p w14:paraId="4FB849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6F6F3C5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0AC4DC5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tcPr>
          <w:p w14:paraId="3D46C7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зміну складу посадових осіб емітента</w:t>
            </w:r>
          </w:p>
          <w:p w14:paraId="5F6FED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Рiшенням Загальних зборiв акцiонерiв вiд 25.04.2024 року (протокол № 32) Рижову Тетяну Сергiївну обрано на посаду Генерального директора Товариства на термiн до 31 липня 2024 року включно. Є представником акцiонера Товариства - Акцiонерного товариства "Страхова компанiя "IНГО". Непогашеної судимостi за злочини проти власностi, посадовi чи господарськi злочини не має; рiшень суду про заборону займатися певним видом дiяльностi не має. Не є особою зi статусом народного депутата України, члена Кабiнету Мiнiстр</w:t>
            </w:r>
            <w:r>
              <w:rPr>
                <w:rFonts w:ascii="Times New Roman CYR" w:hAnsi="Times New Roman CYR" w:cs="Times New Roman CYR"/>
                <w:kern w:val="0"/>
                <w:sz w:val="22"/>
                <w:szCs w:val="22"/>
              </w:rPr>
              <w:t xml:space="preserve">iв України, керiвника центральних i мiсцевих органiв виконавчої влади, органiв мiсцевого самоврядування, а також не є вiйськовослужбовцем, посадовою особою органiв прокуратури, суду, служби безпеки, внутрiшнiх справ, </w:t>
            </w:r>
            <w:r>
              <w:rPr>
                <w:rFonts w:ascii="Times New Roman CYR" w:hAnsi="Times New Roman CYR" w:cs="Times New Roman CYR"/>
                <w:kern w:val="0"/>
                <w:sz w:val="22"/>
                <w:szCs w:val="22"/>
              </w:rPr>
              <w:lastRenderedPageBreak/>
              <w:t>державним службовцем, членом або Головою Наглядової ради; не є учасником або членом органiв управлiння юридичних осiб, що конкурують з дiяльнiстю Товариства; не перебуває у прямих родинних вiдносинах з Головним бухгалтером та Членами Наглядової ради. Не володiє часткою в статутному капiталi Тов</w:t>
            </w:r>
            <w:r>
              <w:rPr>
                <w:rFonts w:ascii="Times New Roman CYR" w:hAnsi="Times New Roman CYR" w:cs="Times New Roman CYR"/>
                <w:kern w:val="0"/>
                <w:sz w:val="22"/>
                <w:szCs w:val="22"/>
              </w:rPr>
              <w:t>ариства. Дозвiл на розкриття персональних даних Товариство не отримувало. Протягом останнiх 5 рокiв займав посаду Генерального директора АТ "СК "IНГО ЖИТТЯ".</w:t>
            </w:r>
          </w:p>
        </w:tc>
        <w:tc>
          <w:tcPr>
            <w:tcW w:w="1500" w:type="dxa"/>
            <w:tcBorders>
              <w:top w:val="single" w:sz="6" w:space="0" w:color="auto"/>
              <w:left w:val="single" w:sz="6" w:space="0" w:color="auto"/>
              <w:bottom w:val="single" w:sz="6" w:space="0" w:color="auto"/>
              <w:right w:val="single" w:sz="6" w:space="0" w:color="auto"/>
            </w:tcBorders>
          </w:tcPr>
          <w:p w14:paraId="63ED34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25.04.2024</w:t>
            </w:r>
          </w:p>
        </w:tc>
        <w:tc>
          <w:tcPr>
            <w:tcW w:w="5500" w:type="dxa"/>
            <w:tcBorders>
              <w:top w:val="single" w:sz="6" w:space="0" w:color="auto"/>
              <w:left w:val="single" w:sz="6" w:space="0" w:color="auto"/>
              <w:bottom w:val="single" w:sz="6" w:space="0" w:color="auto"/>
            </w:tcBorders>
          </w:tcPr>
          <w:p w14:paraId="1E1039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r w:rsidR="00000000" w14:paraId="3E3D2DB3"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196B5F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50" w:type="dxa"/>
            <w:tcBorders>
              <w:top w:val="single" w:sz="6" w:space="0" w:color="auto"/>
              <w:left w:val="single" w:sz="6" w:space="0" w:color="auto"/>
              <w:bottom w:val="single" w:sz="6" w:space="0" w:color="auto"/>
              <w:right w:val="single" w:sz="6" w:space="0" w:color="auto"/>
            </w:tcBorders>
          </w:tcPr>
          <w:p w14:paraId="4733EA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попереднє надання згоди на вчинення значних правочинів</w:t>
            </w:r>
          </w:p>
          <w:p w14:paraId="2DC004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w:t>
            </w:r>
            <w:r>
              <w:rPr>
                <w:rFonts w:ascii="Times New Roman CYR" w:hAnsi="Times New Roman CYR" w:cs="Times New Roman CYR"/>
                <w:kern w:val="0"/>
                <w:sz w:val="22"/>
                <w:szCs w:val="22"/>
              </w:rPr>
              <w:t>но до рiшення Загальних зборiв акцiонерiв вiд 25.04.2024 ркоу (протокол № 32) попередньо надано згоду на вчинення значних правочинiв, якi будуть укладатися Товариством в процесi його господарської дiяльностi з "25" квiтня 2024 року по "24" квiтня 2025 року, а саме договорiв страхування та договорiв перестрахування, ринкова вартiсть майна або послуг, що є предметом за такими договорами перевищує 25 вiдсоткiв вартостi активiв Товариства за даними останньої рiчної фiнансової звiтностi Товариства, та гранична с</w:t>
            </w:r>
            <w:r>
              <w:rPr>
                <w:rFonts w:ascii="Times New Roman CYR" w:hAnsi="Times New Roman CYR" w:cs="Times New Roman CYR"/>
                <w:kern w:val="0"/>
                <w:sz w:val="22"/>
                <w:szCs w:val="22"/>
              </w:rPr>
              <w:t xml:space="preserve">укупна </w:t>
            </w:r>
            <w:r>
              <w:rPr>
                <w:rFonts w:ascii="Times New Roman CYR" w:hAnsi="Times New Roman CYR" w:cs="Times New Roman CYR"/>
                <w:kern w:val="0"/>
                <w:sz w:val="22"/>
                <w:szCs w:val="22"/>
              </w:rPr>
              <w:lastRenderedPageBreak/>
              <w:t>вартiсть таких правочинiв складає 20 (двадцять) мiльйонiв доларiв США або вiдповiдний еквiвалент у гривнi за курсом Нацiонального банку України на день укладення вiдповiдного правочину. Вартiсть активiв емiтента за даними останньої рiчної фiнансової звiтностi 67 735 471, 84 гривень. Спiввiдношення ринкової вартостi майна або послуг, що є предметом правочину, до вартостi активiв емiтента за даними останньої рiчної фiнансової звiтностi (у вiдсотках): 1165,47 %.</w:t>
            </w:r>
          </w:p>
        </w:tc>
        <w:tc>
          <w:tcPr>
            <w:tcW w:w="1500" w:type="dxa"/>
            <w:tcBorders>
              <w:top w:val="single" w:sz="6" w:space="0" w:color="auto"/>
              <w:left w:val="single" w:sz="6" w:space="0" w:color="auto"/>
              <w:bottom w:val="single" w:sz="6" w:space="0" w:color="auto"/>
              <w:right w:val="single" w:sz="6" w:space="0" w:color="auto"/>
            </w:tcBorders>
          </w:tcPr>
          <w:p w14:paraId="3A79D8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25.04.2024</w:t>
            </w:r>
          </w:p>
        </w:tc>
        <w:tc>
          <w:tcPr>
            <w:tcW w:w="5500" w:type="dxa"/>
            <w:tcBorders>
              <w:top w:val="single" w:sz="6" w:space="0" w:color="auto"/>
              <w:left w:val="single" w:sz="6" w:space="0" w:color="auto"/>
              <w:bottom w:val="single" w:sz="6" w:space="0" w:color="auto"/>
            </w:tcBorders>
          </w:tcPr>
          <w:p w14:paraId="6F7388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r w:rsidR="00000000" w14:paraId="208EA4E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4C0EFA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450" w:type="dxa"/>
            <w:tcBorders>
              <w:top w:val="single" w:sz="6" w:space="0" w:color="auto"/>
              <w:left w:val="single" w:sz="6" w:space="0" w:color="auto"/>
              <w:bottom w:val="single" w:sz="6" w:space="0" w:color="auto"/>
              <w:right w:val="single" w:sz="6" w:space="0" w:color="auto"/>
            </w:tcBorders>
          </w:tcPr>
          <w:p w14:paraId="75B77A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зміну складу посадових осіб емітента</w:t>
            </w:r>
          </w:p>
          <w:p w14:paraId="1AE1D6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Вiдповiдно до пiдпункту першого частини першої статтi 80 Закону України "Про акцiонернi товариства" припинити повноваження Колiсецької Людмили Олександрiвни (за вланим бажання згiдно заяви вiд 27.05.2024 року) з 10.06.2024 року -  Члена Наглядової ради Товариства. Строк перебування на посадi - один рiк та один мiсяць. Непогашеної судимостi за злочини проти власностi, посадовi чи господарськi злочини не має; рiшень суду про заборону займатися певним видом дiяльностi не має. Не є особою зi статусом народного</w:t>
            </w:r>
            <w:r>
              <w:rPr>
                <w:rFonts w:ascii="Times New Roman CYR" w:hAnsi="Times New Roman CYR" w:cs="Times New Roman CYR"/>
                <w:kern w:val="0"/>
                <w:sz w:val="22"/>
                <w:szCs w:val="22"/>
              </w:rPr>
              <w:t xml:space="preserve"> депутата України, членом Кабiнету </w:t>
            </w:r>
            <w:r>
              <w:rPr>
                <w:rFonts w:ascii="Times New Roman CYR" w:hAnsi="Times New Roman CYR" w:cs="Times New Roman CYR"/>
                <w:kern w:val="0"/>
                <w:sz w:val="22"/>
                <w:szCs w:val="22"/>
              </w:rPr>
              <w:lastRenderedPageBreak/>
              <w:t>Мiнiстрiв України, керiвником центральних i мiсцевих органiв виконавчої влади, органiв мiсцевого самоврядування, а також не є вiйськовослужбовцем, посадовою особою органiв прокуратури, суду, служби безпеки, внутрiшнiх справ, державним службовцем, не є учасником або членом органiв  управлiння юридичних осiб, що конкурують з дiяльнiстю Товариства; не перебуває у прямих родинних вiдносинах з Головним бухгалтером та iншими посадовими особами Товариства. Володiє часткою в стату</w:t>
            </w:r>
            <w:r>
              <w:rPr>
                <w:rFonts w:ascii="Times New Roman CYR" w:hAnsi="Times New Roman CYR" w:cs="Times New Roman CYR"/>
                <w:kern w:val="0"/>
                <w:sz w:val="22"/>
                <w:szCs w:val="22"/>
              </w:rPr>
              <w:t>тному капiталi Товариства в розмiрi 0,005238. Дозвiл на  розкриття персональних даних Товариство не отримувало.Протягом останнiх 5 рокiв.</w:t>
            </w:r>
          </w:p>
          <w:p w14:paraId="64E96B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Закону України "Про страхування", у звязку iз лiквiдацiєю одноособового виконавчого органу управлiння Товариством - Генеральний директор Товариства, рiшенням Загальних зборiв акцiонерiв вiд 30.05.2024 року (протокол № 33) припинити  повноваження Рижової Тетяни Сергiївни як Генерального директора Товариства. Непогашеної судимостi за злочини проти вл</w:t>
            </w:r>
            <w:r>
              <w:rPr>
                <w:rFonts w:ascii="Times New Roman CYR" w:hAnsi="Times New Roman CYR" w:cs="Times New Roman CYR"/>
                <w:kern w:val="0"/>
                <w:sz w:val="22"/>
                <w:szCs w:val="22"/>
              </w:rPr>
              <w:t xml:space="preserve">асностi, посадовi чи господарськi злочини </w:t>
            </w:r>
            <w:r>
              <w:rPr>
                <w:rFonts w:ascii="Times New Roman CYR" w:hAnsi="Times New Roman CYR" w:cs="Times New Roman CYR"/>
                <w:kern w:val="0"/>
                <w:sz w:val="22"/>
                <w:szCs w:val="22"/>
              </w:rPr>
              <w:lastRenderedPageBreak/>
              <w:t xml:space="preserve">не має; рiшень суду про заборону займатися певним видом дiяльностi не має. Не є особою зi статусом народного депутата України, члена Кабiнету Мiнiстрiв України, керiвника центральних i мiсцевих органiв  виконавчої влади, органiв мiсцевого самоврядування, а також не є вiйськовослужбовцем, посадовою особою органiв прокуратури, суду, служби безпеки, внутрiшнiх справ, державним службовцем, членом або Головою Наглядової ради; не є учасником або членом органiв управлiння </w:t>
            </w:r>
            <w:r>
              <w:rPr>
                <w:rFonts w:ascii="Times New Roman CYR" w:hAnsi="Times New Roman CYR" w:cs="Times New Roman CYR"/>
                <w:kern w:val="0"/>
                <w:sz w:val="22"/>
                <w:szCs w:val="22"/>
              </w:rPr>
              <w:t>юридичних осiб, що конкурують з дiяльнiстю Товариства; не перебуває у прямих родинних вiдносинах з Головним бухгалтером та Членами Наглядової ради. Не володiє часткою в статутному капiталi Товариства. Дозвiл на розкриття персональних даних Товариство не отримувало. Протягом останнiх 5 рокiв займала посаду Генерального директора АТ "СК "IНГО ЖИТТЯ".</w:t>
            </w:r>
          </w:p>
          <w:p w14:paraId="69BAC8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Закону України "Про страхування", створенням колегiального органу управлiння Товариством - Правлiння, рiшенням Загальних зборiв акцiонерi</w:t>
            </w:r>
            <w:r>
              <w:rPr>
                <w:rFonts w:ascii="Times New Roman CYR" w:hAnsi="Times New Roman CYR" w:cs="Times New Roman CYR"/>
                <w:kern w:val="0"/>
                <w:sz w:val="22"/>
                <w:szCs w:val="22"/>
              </w:rPr>
              <w:t xml:space="preserve">в вiд 30.05.2024 року (протокол № 33) </w:t>
            </w:r>
            <w:r>
              <w:rPr>
                <w:rFonts w:ascii="Times New Roman CYR" w:hAnsi="Times New Roman CYR" w:cs="Times New Roman CYR"/>
                <w:kern w:val="0"/>
                <w:sz w:val="22"/>
                <w:szCs w:val="22"/>
              </w:rPr>
              <w:lastRenderedPageBreak/>
              <w:t>Рижову Тетяну Сергiївну обрано на посаду Голови правлiння Товариства строком на три роки. Є представником акцiонера Товариства - Акцiонерного товариства "Страхова компанiя "IНГО". Непогашеної судимостi за злочини проти власностi, посадовi чи господарськi злочини не має; рiшень суду про заборону займатися певним видом дiяльностi не має. Не є особою зi статусом народного депутата України, члена Кабiнету Мiнiстрiв України, керiвника центральних i мiсцевих органiв виконавчо</w:t>
            </w:r>
            <w:r>
              <w:rPr>
                <w:rFonts w:ascii="Times New Roman CYR" w:hAnsi="Times New Roman CYR" w:cs="Times New Roman CYR"/>
                <w:kern w:val="0"/>
                <w:sz w:val="22"/>
                <w:szCs w:val="22"/>
              </w:rPr>
              <w:t>ї влади, органiв мiсцевого самоврядування, а також не є вiйськовослужбовцем, посадовою особою органiв прокуратури, суду, служби безпеки, внутрiшнiх справ, державним службовцем, членом або Головою Наглядової ради;  не є учасником або членом органiв управлiння юридичних осiб, що конкурують з дiяльнiстю Товариства; не перебуває у прямих родинних вiдносинах з Головним бухгалтером та Членами Наглядової ради. Не володiє часткою в статутному капiталi Товариства. Дозвiл на розкриття персональних даних Товариство не</w:t>
            </w:r>
            <w:r>
              <w:rPr>
                <w:rFonts w:ascii="Times New Roman CYR" w:hAnsi="Times New Roman CYR" w:cs="Times New Roman CYR"/>
                <w:kern w:val="0"/>
                <w:sz w:val="22"/>
                <w:szCs w:val="22"/>
              </w:rPr>
              <w:t xml:space="preserve"> отримувало. Протягом останнiх 5 рокiв займала посаду Генерального </w:t>
            </w:r>
            <w:r>
              <w:rPr>
                <w:rFonts w:ascii="Times New Roman CYR" w:hAnsi="Times New Roman CYR" w:cs="Times New Roman CYR"/>
                <w:kern w:val="0"/>
                <w:sz w:val="22"/>
                <w:szCs w:val="22"/>
              </w:rPr>
              <w:lastRenderedPageBreak/>
              <w:t>директора АТ "СК "IНГО ЖИТТЯ".</w:t>
            </w:r>
          </w:p>
          <w:p w14:paraId="3D9F27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Закону України "Про страхування", створенням колегiального органу управлiння Товариством - Правлiння, рiшенням Загальних зборiв акцiонерiв вiд 30.05.2024 року (протокол № 33) Колiсецьку Людмилу Олександрiвну з 10.06.2024 року обрати на посаду Члена правлiння Товариства, строком на три роки. Є акцiонером Товариства. Непогашеної судимостi за злочини проти власностi, посадовi чи господарськ</w:t>
            </w:r>
            <w:r>
              <w:rPr>
                <w:rFonts w:ascii="Times New Roman CYR" w:hAnsi="Times New Roman CYR" w:cs="Times New Roman CYR"/>
                <w:kern w:val="0"/>
                <w:sz w:val="22"/>
                <w:szCs w:val="22"/>
              </w:rPr>
              <w:t xml:space="preserve">i злочини не має; рiшень суду про заборону займатися певним видом дiяльностi не має. Не є особою зi статусом народного депутата України, члена Кабiнету Мiнiстрiв України, керiвника центральних i мiсцевих органiв виконавчої влади, органiв мiсцевого самоврядування, а також не є вiйськовослужбовцем, посадовою особою органiв прокуратури, суду, служби безпеки, внутрiшнiх справ, державним службовцем, Головою Наглядової ради;  не є учасником або членом органiв управлiння юридичних осiб, що конкурують з дiяльнiстю </w:t>
            </w:r>
            <w:r>
              <w:rPr>
                <w:rFonts w:ascii="Times New Roman CYR" w:hAnsi="Times New Roman CYR" w:cs="Times New Roman CYR"/>
                <w:kern w:val="0"/>
                <w:sz w:val="22"/>
                <w:szCs w:val="22"/>
              </w:rPr>
              <w:t xml:space="preserve">Товариства; не перебуває у прямих родинних вiдносинах з Головним бухгалтером </w:t>
            </w:r>
            <w:r>
              <w:rPr>
                <w:rFonts w:ascii="Times New Roman CYR" w:hAnsi="Times New Roman CYR" w:cs="Times New Roman CYR"/>
                <w:kern w:val="0"/>
                <w:sz w:val="22"/>
                <w:szCs w:val="22"/>
              </w:rPr>
              <w:lastRenderedPageBreak/>
              <w:t>та Членами Наглядової ради. Володiє часткою в статутному капiталi Товариства у розмiрi 0,005238 %. Дозвiл на розкриття персональних даних Товариство не отримувало. Протягом останнiх 5 рокiв займала посаду Члена Наглядової ради АТ "СК "IНГО ЖИТТЯ" та Члена Правлiння АТ "СК "IНГО".</w:t>
            </w:r>
          </w:p>
          <w:p w14:paraId="1DB234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займала посаду Члена Наглядової ради АТ "СК "IНГО ЖИТТЯ" та Члена правлiння АТ "СК "IНГО".</w:t>
            </w:r>
          </w:p>
          <w:p w14:paraId="588C095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tcPr>
          <w:p w14:paraId="0F502D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30.05.2024</w:t>
            </w:r>
          </w:p>
        </w:tc>
        <w:tc>
          <w:tcPr>
            <w:tcW w:w="5500" w:type="dxa"/>
            <w:tcBorders>
              <w:top w:val="single" w:sz="6" w:space="0" w:color="auto"/>
              <w:left w:val="single" w:sz="6" w:space="0" w:color="auto"/>
              <w:bottom w:val="single" w:sz="6" w:space="0" w:color="auto"/>
            </w:tcBorders>
          </w:tcPr>
          <w:p w14:paraId="11FC8B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r w:rsidR="00000000" w14:paraId="0BFF2607"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1B5929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4</w:t>
            </w:r>
          </w:p>
        </w:tc>
        <w:tc>
          <w:tcPr>
            <w:tcW w:w="2450" w:type="dxa"/>
            <w:tcBorders>
              <w:top w:val="single" w:sz="6" w:space="0" w:color="auto"/>
              <w:left w:val="single" w:sz="6" w:space="0" w:color="auto"/>
              <w:bottom w:val="single" w:sz="6" w:space="0" w:color="auto"/>
              <w:right w:val="single" w:sz="6" w:space="0" w:color="auto"/>
            </w:tcBorders>
          </w:tcPr>
          <w:p w14:paraId="469170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зміну складу посадових осіб емітента</w:t>
            </w:r>
          </w:p>
          <w:p w14:paraId="5489FB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Закону України "Про акцiонернi товариства" т</w:t>
            </w:r>
            <w:r>
              <w:rPr>
                <w:rFonts w:ascii="Times New Roman CYR" w:hAnsi="Times New Roman CYR" w:cs="Times New Roman CYR"/>
                <w:kern w:val="0"/>
                <w:sz w:val="22"/>
                <w:szCs w:val="22"/>
              </w:rPr>
              <w:t>а Закону України "Про фiнансовi послуги та фiнансовi компанiї", у звязку iз лiквiдацiєю колегiального  виконавчого органу управлiння  - Правлiння АТ "СК "IНГО ЖИТТЯ", рiшенням Загальних зборiв акцiонерiв вiд 14.08.2024 року (протокол № 36) припинити з 18.08.2024 року повноваження Рижової Тетяни Сергiївни як Голови правлiння АТ "СК "IНГО ЖИТТЯ". Строк перебування на посадi - 2,5 мiсяцi. Непогашеної судимостi за злочини проти власностi, посадовi чи господарськi злочини не має; рiшень суду про заборону займати</w:t>
            </w:r>
            <w:r>
              <w:rPr>
                <w:rFonts w:ascii="Times New Roman CYR" w:hAnsi="Times New Roman CYR" w:cs="Times New Roman CYR"/>
                <w:kern w:val="0"/>
                <w:sz w:val="22"/>
                <w:szCs w:val="22"/>
              </w:rPr>
              <w:t xml:space="preserve">ся певним видом дiяльностi не </w:t>
            </w:r>
            <w:r>
              <w:rPr>
                <w:rFonts w:ascii="Times New Roman CYR" w:hAnsi="Times New Roman CYR" w:cs="Times New Roman CYR"/>
                <w:kern w:val="0"/>
                <w:sz w:val="22"/>
                <w:szCs w:val="22"/>
              </w:rPr>
              <w:lastRenderedPageBreak/>
              <w:t>має. Не є особою зi статусом народного депутата України, члена Кабiнету Мiнiстрiв України, керiвника центральних i мiсцевих органiв  виконавчої влади, органiв мiсцевого самоврядування, а також не є вiйськовослужбовцем, посадовою особою органiв прокуратури, суду, служби безпеки, внутрiшнiх справ, державним службовцем, членом або Головою Наглядової ради; не є учасником або членом органiв управлiння юридичних осiб, що конкурують з дiяльнiстю Товариства; не перебуває у прямих родин</w:t>
            </w:r>
            <w:r>
              <w:rPr>
                <w:rFonts w:ascii="Times New Roman CYR" w:hAnsi="Times New Roman CYR" w:cs="Times New Roman CYR"/>
                <w:kern w:val="0"/>
                <w:sz w:val="22"/>
                <w:szCs w:val="22"/>
              </w:rPr>
              <w:t>них вiдносинах з Головним бухгалтером та Членами Наглядової ради. Не володiє часткою в статутному капiталi Товариства. Дозвiл на розкриття персональних даних Товариство не отримувало. Протягом останнiх 5 рокiв займала посаду Генерального директора та Голови правлiння АТ "СК "IНГО ЖИТТЯ".</w:t>
            </w:r>
          </w:p>
          <w:p w14:paraId="4C7376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Закону України "Про акцiонернi товариства" та Закону України "Про фiнансовi послуги та фiнансовi компанiї", у звязку iз лiквiдацiєю колегiального  виконавчого органу управлiння  - Правлiння АТ "СК "I</w:t>
            </w:r>
            <w:r>
              <w:rPr>
                <w:rFonts w:ascii="Times New Roman CYR" w:hAnsi="Times New Roman CYR" w:cs="Times New Roman CYR"/>
                <w:kern w:val="0"/>
                <w:sz w:val="22"/>
                <w:szCs w:val="22"/>
              </w:rPr>
              <w:t xml:space="preserve">НГО ЖИТТЯ", рiшенням Загальних зборiв акцiонерiв вiд </w:t>
            </w:r>
            <w:r>
              <w:rPr>
                <w:rFonts w:ascii="Times New Roman CYR" w:hAnsi="Times New Roman CYR" w:cs="Times New Roman CYR"/>
                <w:kern w:val="0"/>
                <w:sz w:val="22"/>
                <w:szCs w:val="22"/>
              </w:rPr>
              <w:lastRenderedPageBreak/>
              <w:t>14.08.2024 року (протокол № 36) припинити з 18.08.2024 року повноваження Колiсецької Людмили Олександрiвни як Члена правлiння АТ "СК "IНГО ЖИТТЯ". Строк перебування на посадi - 2,5 мiсяцi. Непогашеної судимостi за злочини проти власностi, посадовi чи господарськi злочини не має; рiшень суду про заборону займатися певним видом дiяльностi не має. Не є особою зi статусом народного депутата України, члена Кабiнету Мiнiстрiв України, керiвника центральних i мi</w:t>
            </w:r>
            <w:r>
              <w:rPr>
                <w:rFonts w:ascii="Times New Roman CYR" w:hAnsi="Times New Roman CYR" w:cs="Times New Roman CYR"/>
                <w:kern w:val="0"/>
                <w:sz w:val="22"/>
                <w:szCs w:val="22"/>
              </w:rPr>
              <w:t>сцевих органiв  виконавчої влади, органiв мiсцевого самоврядування, а також не є вiйськовослужбовцем, посадовою особою органiв прокуратури, суду, служби безпеки, внутрiшнiх справ, державним службовцем, членом або Головою Наглядової ради; не є учасником або членом органiв управлiння юридичних осiб, що конкурують з дiяльнiстю Товариства; не перебуває у прямих родинних вiдносинах з Головним бухгалтером та Членами Наглядової ради. Володiє часткою в статутному капiталi Товариства в розмiрi  0,005238. Дозвiл на р</w:t>
            </w:r>
            <w:r>
              <w:rPr>
                <w:rFonts w:ascii="Times New Roman CYR" w:hAnsi="Times New Roman CYR" w:cs="Times New Roman CYR"/>
                <w:kern w:val="0"/>
                <w:sz w:val="22"/>
                <w:szCs w:val="22"/>
              </w:rPr>
              <w:t xml:space="preserve">озкриття персональних даних Товариство не отримувало. Протягом останнiх 5 рокiв займала посаду Голови </w:t>
            </w:r>
            <w:r>
              <w:rPr>
                <w:rFonts w:ascii="Times New Roman CYR" w:hAnsi="Times New Roman CYR" w:cs="Times New Roman CYR"/>
                <w:kern w:val="0"/>
                <w:sz w:val="22"/>
                <w:szCs w:val="22"/>
              </w:rPr>
              <w:lastRenderedPageBreak/>
              <w:t>Ревiзiйної комiсiї та Члена правлiння АТ "СК "IНГО ЖИТТЯ".</w:t>
            </w:r>
          </w:p>
          <w:p w14:paraId="048D6D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 метою виконання вимог Закону України "Про акцiонернi товариства" та Закону України "Про фiнансовi послуги та фiнансовi компанiї", у звязку iз лiквiдацiєю колегiального  виконавчого органу управлiння  - Правлiння АТ "СК "IНГО ЖИТТЯ" та створенням одноособового органу управлiння - Директор, рiшенням Загальних зборiв акцiонерiв вiд 14.08.2024 року (п</w:t>
            </w:r>
            <w:r>
              <w:rPr>
                <w:rFonts w:ascii="Times New Roman CYR" w:hAnsi="Times New Roman CYR" w:cs="Times New Roman CYR"/>
                <w:kern w:val="0"/>
                <w:sz w:val="22"/>
                <w:szCs w:val="22"/>
              </w:rPr>
              <w:t>ротокол № 36) обрано з 19.08.2024 року  Колiсецьку Людмилу Олександрiвну на посаду Директора. Непогашеної судимостi за злочини проти власностi, посадовi чи господарськi злочини не має; рiшень суду про заборону займатися певним видом дiяльностi не має. Не є особою зi статусом народного депутата України, члена Кабiнету Мiнiстрiв України, керiвника центральних i мiсцевих органiв  виконавчої влади, органiв мiсцевого самоврядування, а також не є вiйськовослужбовцем, посадовою особою органiв прокуратури, суду, сл</w:t>
            </w:r>
            <w:r>
              <w:rPr>
                <w:rFonts w:ascii="Times New Roman CYR" w:hAnsi="Times New Roman CYR" w:cs="Times New Roman CYR"/>
                <w:kern w:val="0"/>
                <w:sz w:val="22"/>
                <w:szCs w:val="22"/>
              </w:rPr>
              <w:t xml:space="preserve">ужби безпеки, внутрiшнiх справ, державним службовцем, членом або Головою Наглядової ради; не є учасником або членом </w:t>
            </w:r>
            <w:r>
              <w:rPr>
                <w:rFonts w:ascii="Times New Roman CYR" w:hAnsi="Times New Roman CYR" w:cs="Times New Roman CYR"/>
                <w:kern w:val="0"/>
                <w:sz w:val="22"/>
                <w:szCs w:val="22"/>
              </w:rPr>
              <w:lastRenderedPageBreak/>
              <w:t>органiв управлiння юридичних осiб, що конкурують з дiяльнiстю Товариства; не перебуває у прямих родинних вiдносинах з Головним бухгалтером та Членами Наглядової ради. Володiє часткою в статутному капiталi Товариства в розмiрi  0,005238. Дозвiл на розкриття персональних даних Товариство не отримувало. Протягом останнiх 5 рокiв займала посаду Голови Ревiзiйної комiсiї та Члена правлiння АТ "СК "</w:t>
            </w:r>
            <w:r>
              <w:rPr>
                <w:rFonts w:ascii="Times New Roman CYR" w:hAnsi="Times New Roman CYR" w:cs="Times New Roman CYR"/>
                <w:kern w:val="0"/>
                <w:sz w:val="22"/>
                <w:szCs w:val="22"/>
              </w:rPr>
              <w:t>IНГО ЖИТТЯ".</w:t>
            </w:r>
          </w:p>
        </w:tc>
        <w:tc>
          <w:tcPr>
            <w:tcW w:w="1500" w:type="dxa"/>
            <w:tcBorders>
              <w:top w:val="single" w:sz="6" w:space="0" w:color="auto"/>
              <w:left w:val="single" w:sz="6" w:space="0" w:color="auto"/>
              <w:bottom w:val="single" w:sz="6" w:space="0" w:color="auto"/>
              <w:right w:val="single" w:sz="6" w:space="0" w:color="auto"/>
            </w:tcBorders>
          </w:tcPr>
          <w:p w14:paraId="40AD48B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19.08.2024</w:t>
            </w:r>
          </w:p>
        </w:tc>
        <w:tc>
          <w:tcPr>
            <w:tcW w:w="5500" w:type="dxa"/>
            <w:tcBorders>
              <w:top w:val="single" w:sz="6" w:space="0" w:color="auto"/>
              <w:left w:val="single" w:sz="6" w:space="0" w:color="auto"/>
              <w:bottom w:val="single" w:sz="6" w:space="0" w:color="auto"/>
            </w:tcBorders>
          </w:tcPr>
          <w:p w14:paraId="52CC8B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bl>
    <w:p w14:paraId="566285C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1CB2F5B7" w14:textId="77777777" w:rsidR="00DA0975" w:rsidRDefault="00DA0975">
      <w:pPr>
        <w:widowControl w:val="0"/>
        <w:autoSpaceDE w:val="0"/>
        <w:autoSpaceDN w:val="0"/>
        <w:adjustRightInd w:val="0"/>
        <w:spacing w:after="0" w:line="240" w:lineRule="auto"/>
        <w:rPr>
          <w:rFonts w:ascii="Times New Roman CYR" w:hAnsi="Times New Roman CYR" w:cs="Times New Roman CYR"/>
          <w:b/>
          <w:bCs/>
          <w:i/>
          <w:iCs/>
          <w:kern w:val="0"/>
        </w:rPr>
      </w:pPr>
      <w:r>
        <w:rPr>
          <w:rFonts w:ascii="Times New Roman CYR" w:hAnsi="Times New Roman CYR" w:cs="Times New Roman CYR"/>
          <w:b/>
          <w:bCs/>
          <w:i/>
          <w:iCs/>
          <w:kern w:val="0"/>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14:paraId="108565BF"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8893F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646273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2FF1B93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675A5BE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000000" w14:paraId="79A8F82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89D11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vAlign w:val="center"/>
          </w:tcPr>
          <w:p w14:paraId="6CAC8F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500" w:type="dxa"/>
            <w:tcBorders>
              <w:top w:val="single" w:sz="6" w:space="0" w:color="auto"/>
              <w:left w:val="single" w:sz="6" w:space="0" w:color="auto"/>
              <w:bottom w:val="single" w:sz="6" w:space="0" w:color="auto"/>
              <w:right w:val="single" w:sz="6" w:space="0" w:color="auto"/>
            </w:tcBorders>
            <w:vAlign w:val="center"/>
          </w:tcPr>
          <w:p w14:paraId="3315C8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5500" w:type="dxa"/>
            <w:tcBorders>
              <w:top w:val="single" w:sz="6" w:space="0" w:color="auto"/>
              <w:left w:val="single" w:sz="6" w:space="0" w:color="auto"/>
              <w:bottom w:val="single" w:sz="6" w:space="0" w:color="auto"/>
            </w:tcBorders>
            <w:vAlign w:val="center"/>
          </w:tcPr>
          <w:p w14:paraId="65C60B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56A727B2"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62459C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450" w:type="dxa"/>
            <w:tcBorders>
              <w:top w:val="single" w:sz="6" w:space="0" w:color="auto"/>
              <w:left w:val="single" w:sz="6" w:space="0" w:color="auto"/>
              <w:bottom w:val="single" w:sz="6" w:space="0" w:color="auto"/>
              <w:right w:val="single" w:sz="6" w:space="0" w:color="auto"/>
            </w:tcBorders>
          </w:tcPr>
          <w:p w14:paraId="239F54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зміну типу акціонерного товариства</w:t>
            </w:r>
          </w:p>
          <w:p w14:paraId="327B7AA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02 серпня 2024 року Нацiональним банком України було прийнято рiшення (отримано АТ "СК "IНГО ЖИТТЯ" 05.08.2024 року) про анулювання лiцензiї на здiйснення дiяльностi iз страхування та виключення з Державного реєстру фiнансових установ АТ "СК "IНГО ЖИТТЯ" (ЄДРПОУ 35333145), рiшення було прийнято на пiдставi його заяви. Нацiональний банк України 28.06.2024 року надав АТ "СК "IНГО ЖИТТЯ"дозвiл на вихiд з ринку шляхом виконання страхового портфеля та погодив страховику план виходу з ринку шляхом виконання стра</w:t>
            </w:r>
            <w:r>
              <w:rPr>
                <w:rFonts w:ascii="Times New Roman CYR" w:hAnsi="Times New Roman CYR" w:cs="Times New Roman CYR"/>
                <w:kern w:val="0"/>
                <w:sz w:val="22"/>
                <w:szCs w:val="22"/>
              </w:rPr>
              <w:t xml:space="preserve">хового портфеля. </w:t>
            </w:r>
            <w:r>
              <w:rPr>
                <w:rFonts w:ascii="Times New Roman CYR" w:hAnsi="Times New Roman CYR" w:cs="Times New Roman CYR"/>
                <w:kern w:val="0"/>
                <w:sz w:val="22"/>
                <w:szCs w:val="22"/>
              </w:rPr>
              <w:lastRenderedPageBreak/>
              <w:t>Вiдповiдне рiшення було ухвалене Комiтетом з питань нагляду та регулювання дiяльностi ринкiв небанкiвських фiнансових послуг 02 серпня 2024 року.</w:t>
            </w:r>
          </w:p>
          <w:p w14:paraId="461CC2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Вiдповiдно до Закону України "Про бухгалтерський облiк та фiнансову звiтнiсть в Українi" пiдприємства, що становлять суспiльний iнтерес, - пiдприємства - емiтенти цiнних паперiв, цiннi папери яких допущенi до торгiв на регульованому ринку капiталу або щодо цiнних паперiв яких здiйснено публiчну пропозицiю, банки, страховики, недержавнi пенсiйнi фо</w:t>
            </w:r>
            <w:r>
              <w:rPr>
                <w:rFonts w:ascii="Times New Roman CYR" w:hAnsi="Times New Roman CYR" w:cs="Times New Roman CYR"/>
                <w:kern w:val="0"/>
                <w:sz w:val="22"/>
                <w:szCs w:val="22"/>
              </w:rPr>
              <w:t xml:space="preserve">нди, iншi фiнансовi установи (крiм iнших фiнансових установ та недержавних пенсiйних фондiв, що належать до мiкропiдприємств та малих пiдприємств) та пiдприємства, якi вiдповiдно до цього Закону належать до великих пiдприємств. </w:t>
            </w:r>
          </w:p>
          <w:p w14:paraId="584FB8E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Враховуючи вищенаведене, АТ "СК "IНГО ЖИТТЯ" втратило статус фiнансової компанiї - страховика, а також вiдбулась втрата статусу пiдприємства, що становить суспiльний iнтерес. </w:t>
            </w:r>
          </w:p>
          <w:p w14:paraId="0574BAF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tcPr>
          <w:p w14:paraId="6A34D7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02.08.2024</w:t>
            </w:r>
          </w:p>
        </w:tc>
        <w:tc>
          <w:tcPr>
            <w:tcW w:w="5500" w:type="dxa"/>
            <w:tcBorders>
              <w:top w:val="single" w:sz="6" w:space="0" w:color="auto"/>
              <w:left w:val="single" w:sz="6" w:space="0" w:color="auto"/>
              <w:bottom w:val="single" w:sz="6" w:space="0" w:color="auto"/>
            </w:tcBorders>
          </w:tcPr>
          <w:p w14:paraId="084EEB5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bl>
    <w:p w14:paraId="65AAAF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601237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14:paraId="2391150A" w14:textId="77777777">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35E4BF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000000" w14:paraId="614DA935" w14:textId="77777777">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14:paraId="0FE0E2F3"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416F2E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01.01.2025</w:t>
            </w:r>
          </w:p>
        </w:tc>
      </w:tr>
      <w:tr w:rsidR="00000000" w14:paraId="0F3C605F" w14:textId="77777777">
        <w:tblPrEx>
          <w:tblCellMar>
            <w:top w:w="0" w:type="dxa"/>
            <w:bottom w:w="0" w:type="dxa"/>
          </w:tblCellMar>
        </w:tblPrEx>
        <w:trPr>
          <w:trHeight w:val="298"/>
        </w:trPr>
        <w:tc>
          <w:tcPr>
            <w:tcW w:w="2160" w:type="dxa"/>
            <w:tcBorders>
              <w:top w:val="nil"/>
              <w:left w:val="nil"/>
              <w:bottom w:val="nil"/>
              <w:right w:val="nil"/>
            </w:tcBorders>
            <w:vAlign w:val="center"/>
          </w:tcPr>
          <w:p w14:paraId="7B61484B"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66" w:type="dxa"/>
            <w:tcBorders>
              <w:top w:val="nil"/>
              <w:left w:val="nil"/>
              <w:bottom w:val="nil"/>
              <w:right w:val="nil"/>
            </w:tcBorders>
            <w:vAlign w:val="center"/>
          </w:tcPr>
          <w:p w14:paraId="5E1F50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654" w:type="dxa"/>
            <w:tcBorders>
              <w:top w:val="nil"/>
              <w:left w:val="nil"/>
              <w:bottom w:val="nil"/>
              <w:right w:val="single" w:sz="6" w:space="0" w:color="auto"/>
            </w:tcBorders>
            <w:vAlign w:val="center"/>
          </w:tcPr>
          <w:p w14:paraId="7264A279"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19B9FD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r w:rsidR="00000000" w14:paraId="258BBAE1" w14:textId="77777777">
        <w:tblPrEx>
          <w:tblCellMar>
            <w:top w:w="0" w:type="dxa"/>
            <w:bottom w:w="0" w:type="dxa"/>
          </w:tblCellMar>
        </w:tblPrEx>
        <w:trPr>
          <w:trHeight w:val="298"/>
        </w:trPr>
        <w:tc>
          <w:tcPr>
            <w:tcW w:w="2160" w:type="dxa"/>
            <w:tcBorders>
              <w:top w:val="nil"/>
              <w:left w:val="nil"/>
              <w:bottom w:val="nil"/>
              <w:right w:val="nil"/>
            </w:tcBorders>
            <w:vAlign w:val="center"/>
          </w:tcPr>
          <w:p w14:paraId="1A49D636"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Територія</w:t>
            </w:r>
          </w:p>
        </w:tc>
        <w:tc>
          <w:tcPr>
            <w:tcW w:w="4466" w:type="dxa"/>
            <w:tcBorders>
              <w:top w:val="nil"/>
              <w:left w:val="nil"/>
              <w:bottom w:val="nil"/>
              <w:right w:val="nil"/>
            </w:tcBorders>
            <w:vAlign w:val="center"/>
          </w:tcPr>
          <w:p w14:paraId="1DAB83D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м.Київ</w:t>
            </w:r>
          </w:p>
        </w:tc>
        <w:tc>
          <w:tcPr>
            <w:tcW w:w="1654" w:type="dxa"/>
            <w:tcBorders>
              <w:top w:val="nil"/>
              <w:left w:val="nil"/>
              <w:bottom w:val="nil"/>
              <w:right w:val="single" w:sz="6" w:space="0" w:color="auto"/>
            </w:tcBorders>
            <w:vAlign w:val="center"/>
          </w:tcPr>
          <w:p w14:paraId="57EDF871"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14:paraId="5F60F4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UA800</w:t>
            </w:r>
            <w:r>
              <w:rPr>
                <w:rFonts w:ascii="Times New Roman CYR" w:hAnsi="Times New Roman CYR" w:cs="Times New Roman CYR"/>
                <w:kern w:val="0"/>
                <w:sz w:val="22"/>
                <w:szCs w:val="22"/>
              </w:rPr>
              <w:t>0000001078669</w:t>
            </w:r>
          </w:p>
        </w:tc>
      </w:tr>
      <w:tr w:rsidR="00000000" w14:paraId="3A8966AC" w14:textId="77777777">
        <w:tblPrEx>
          <w:tblCellMar>
            <w:top w:w="0" w:type="dxa"/>
            <w:bottom w:w="0" w:type="dxa"/>
          </w:tblCellMar>
        </w:tblPrEx>
        <w:trPr>
          <w:trHeight w:val="298"/>
        </w:trPr>
        <w:tc>
          <w:tcPr>
            <w:tcW w:w="2160" w:type="dxa"/>
            <w:tcBorders>
              <w:top w:val="nil"/>
              <w:left w:val="nil"/>
              <w:bottom w:val="nil"/>
              <w:right w:val="nil"/>
            </w:tcBorders>
            <w:vAlign w:val="center"/>
          </w:tcPr>
          <w:p w14:paraId="7C8CFF75"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Організаційно-правова форма господарювання</w:t>
            </w:r>
          </w:p>
        </w:tc>
        <w:tc>
          <w:tcPr>
            <w:tcW w:w="4466" w:type="dxa"/>
            <w:tcBorders>
              <w:top w:val="nil"/>
              <w:left w:val="nil"/>
              <w:bottom w:val="nil"/>
              <w:right w:val="nil"/>
            </w:tcBorders>
            <w:vAlign w:val="center"/>
          </w:tcPr>
          <w:p w14:paraId="483134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Акціонерне товариство</w:t>
            </w:r>
          </w:p>
        </w:tc>
        <w:tc>
          <w:tcPr>
            <w:tcW w:w="1654" w:type="dxa"/>
            <w:tcBorders>
              <w:top w:val="nil"/>
              <w:left w:val="nil"/>
              <w:bottom w:val="nil"/>
              <w:right w:val="single" w:sz="6" w:space="0" w:color="auto"/>
            </w:tcBorders>
            <w:vAlign w:val="center"/>
          </w:tcPr>
          <w:p w14:paraId="22C260C8"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16078BC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w:t>
            </w:r>
          </w:p>
        </w:tc>
      </w:tr>
      <w:tr w:rsidR="00000000" w14:paraId="72AD96CA" w14:textId="77777777">
        <w:tblPrEx>
          <w:tblCellMar>
            <w:top w:w="0" w:type="dxa"/>
            <w:bottom w:w="0" w:type="dxa"/>
          </w:tblCellMar>
        </w:tblPrEx>
        <w:trPr>
          <w:trHeight w:val="298"/>
        </w:trPr>
        <w:tc>
          <w:tcPr>
            <w:tcW w:w="2160" w:type="dxa"/>
            <w:tcBorders>
              <w:top w:val="nil"/>
              <w:left w:val="nil"/>
              <w:bottom w:val="nil"/>
              <w:right w:val="nil"/>
            </w:tcBorders>
            <w:vAlign w:val="center"/>
          </w:tcPr>
          <w:p w14:paraId="44349C1E"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Вид економічної діяльності</w:t>
            </w:r>
          </w:p>
        </w:tc>
        <w:tc>
          <w:tcPr>
            <w:tcW w:w="4466" w:type="dxa"/>
            <w:tcBorders>
              <w:top w:val="nil"/>
              <w:left w:val="nil"/>
              <w:bottom w:val="nil"/>
              <w:right w:val="nil"/>
            </w:tcBorders>
            <w:vAlign w:val="center"/>
          </w:tcPr>
          <w:p w14:paraId="3155F74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Страхування життя</w:t>
            </w:r>
          </w:p>
        </w:tc>
        <w:tc>
          <w:tcPr>
            <w:tcW w:w="1654" w:type="dxa"/>
            <w:tcBorders>
              <w:top w:val="nil"/>
              <w:left w:val="nil"/>
              <w:bottom w:val="nil"/>
              <w:right w:val="single" w:sz="6" w:space="0" w:color="auto"/>
            </w:tcBorders>
            <w:vAlign w:val="center"/>
          </w:tcPr>
          <w:p w14:paraId="49FB2F9C"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445E59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65.11</w:t>
            </w:r>
          </w:p>
        </w:tc>
      </w:tr>
    </w:tbl>
    <w:p w14:paraId="087EC99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Середня кількість працівників: </w:t>
      </w:r>
      <w:r>
        <w:rPr>
          <w:rFonts w:ascii="Times New Roman CYR" w:hAnsi="Times New Roman CYR" w:cs="Times New Roman CYR"/>
          <w:kern w:val="0"/>
          <w:sz w:val="22"/>
          <w:szCs w:val="22"/>
        </w:rPr>
        <w:t>2</w:t>
      </w:r>
    </w:p>
    <w:p w14:paraId="030818E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Адреса, телефон: </w:t>
      </w:r>
      <w:r>
        <w:rPr>
          <w:rFonts w:ascii="Times New Roman CYR" w:hAnsi="Times New Roman CYR" w:cs="Times New Roman CYR"/>
          <w:kern w:val="0"/>
          <w:sz w:val="22"/>
          <w:szCs w:val="22"/>
        </w:rPr>
        <w:t>01054 мiсто Київ, вул. Бульварно-Кудрявська, буд. 33, 044 490-27-44</w:t>
      </w:r>
    </w:p>
    <w:p w14:paraId="68AFD2C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Одиниця виміру: </w:t>
      </w:r>
      <w:r>
        <w:rPr>
          <w:rFonts w:ascii="Times New Roman CYR" w:hAnsi="Times New Roman CYR" w:cs="Times New Roman CYR"/>
          <w:kern w:val="0"/>
          <w:sz w:val="22"/>
          <w:szCs w:val="22"/>
        </w:rPr>
        <w:t>тис.грн. без десяткового знака</w:t>
      </w:r>
    </w:p>
    <w:p w14:paraId="3C35B7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Складено </w:t>
      </w:r>
      <w:r>
        <w:rPr>
          <w:rFonts w:ascii="Times New Roman CYR" w:hAnsi="Times New Roman CYR" w:cs="Times New Roman CYR"/>
          <w:kern w:val="0"/>
          <w:sz w:val="22"/>
          <w:szCs w:val="22"/>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000000" w14:paraId="215F4DBE" w14:textId="77777777">
        <w:tblPrEx>
          <w:tblCellMar>
            <w:top w:w="0" w:type="dxa"/>
            <w:bottom w:w="0" w:type="dxa"/>
          </w:tblCellMar>
        </w:tblPrEx>
        <w:trPr>
          <w:trHeight w:val="298"/>
        </w:trPr>
        <w:tc>
          <w:tcPr>
            <w:tcW w:w="8280" w:type="dxa"/>
            <w:vMerge w:val="restart"/>
            <w:tcBorders>
              <w:top w:val="nil"/>
              <w:left w:val="nil"/>
              <w:bottom w:val="nil"/>
              <w:right w:val="nil"/>
            </w:tcBorders>
            <w:vAlign w:val="center"/>
          </w:tcPr>
          <w:p w14:paraId="73D30A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14:paraId="0255670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3FD105BB" w14:textId="77777777">
        <w:tblPrEx>
          <w:tblCellMar>
            <w:top w:w="0" w:type="dxa"/>
            <w:bottom w:w="0" w:type="dxa"/>
          </w:tblCellMar>
        </w:tblPrEx>
        <w:trPr>
          <w:trHeight w:val="298"/>
        </w:trPr>
        <w:tc>
          <w:tcPr>
            <w:tcW w:w="8280" w:type="dxa"/>
            <w:vMerge w:val="restart"/>
            <w:tcBorders>
              <w:top w:val="nil"/>
              <w:left w:val="nil"/>
              <w:bottom w:val="nil"/>
              <w:right w:val="nil"/>
            </w:tcBorders>
            <w:vAlign w:val="center"/>
          </w:tcPr>
          <w:p w14:paraId="60363A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14:paraId="1B77039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v</w:t>
            </w:r>
          </w:p>
        </w:tc>
      </w:tr>
    </w:tbl>
    <w:p w14:paraId="50D59CE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2DF1AF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Баланс</w:t>
      </w:r>
    </w:p>
    <w:p w14:paraId="2BF4E9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фінансовий стан)</w:t>
      </w:r>
    </w:p>
    <w:p w14:paraId="6DA759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rPr>
        <w:t>на 31.12.2024 p.</w:t>
      </w:r>
    </w:p>
    <w:p w14:paraId="482A59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14:paraId="2F579ACF" w14:textId="77777777">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14:paraId="1BBAC241"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349" w:type="dxa"/>
            <w:tcBorders>
              <w:top w:val="single" w:sz="6" w:space="0" w:color="auto"/>
              <w:left w:val="single" w:sz="6" w:space="0" w:color="auto"/>
              <w:bottom w:val="single" w:sz="6" w:space="0" w:color="auto"/>
            </w:tcBorders>
          </w:tcPr>
          <w:p w14:paraId="66BB0264"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1801001</w:t>
            </w:r>
          </w:p>
        </w:tc>
      </w:tr>
      <w:tr w:rsidR="00000000" w14:paraId="103F1D88" w14:textId="77777777">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14:paraId="4EDAC0E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9283A1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74A21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1E9C53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звітного періоду</w:t>
            </w:r>
          </w:p>
        </w:tc>
      </w:tr>
      <w:tr w:rsidR="00000000" w14:paraId="7A699C5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605CA2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5CCE31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6D3B2E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127DAD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2B6828F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09FC5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C6D1CB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0F4261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01656F3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143438D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5F81DA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2A95EB5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733B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w:t>
            </w:r>
          </w:p>
        </w:tc>
        <w:tc>
          <w:tcPr>
            <w:tcW w:w="1645" w:type="dxa"/>
            <w:gridSpan w:val="2"/>
            <w:tcBorders>
              <w:top w:val="single" w:sz="6" w:space="0" w:color="auto"/>
              <w:left w:val="single" w:sz="6" w:space="0" w:color="auto"/>
              <w:bottom w:val="single" w:sz="6" w:space="0" w:color="auto"/>
            </w:tcBorders>
            <w:vAlign w:val="center"/>
          </w:tcPr>
          <w:p w14:paraId="63C1931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F69C81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2754A0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8A5B1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9E30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359</w:t>
            </w:r>
          </w:p>
        </w:tc>
        <w:tc>
          <w:tcPr>
            <w:tcW w:w="1645" w:type="dxa"/>
            <w:gridSpan w:val="2"/>
            <w:tcBorders>
              <w:top w:val="single" w:sz="6" w:space="0" w:color="auto"/>
              <w:left w:val="single" w:sz="6" w:space="0" w:color="auto"/>
              <w:bottom w:val="single" w:sz="6" w:space="0" w:color="auto"/>
            </w:tcBorders>
            <w:vAlign w:val="center"/>
          </w:tcPr>
          <w:p w14:paraId="3AB5E6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17E7D5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82D6BE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11913F1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2DCB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( 329 )</w:t>
            </w:r>
          </w:p>
        </w:tc>
        <w:tc>
          <w:tcPr>
            <w:tcW w:w="1645" w:type="dxa"/>
            <w:gridSpan w:val="2"/>
            <w:tcBorders>
              <w:top w:val="single" w:sz="6" w:space="0" w:color="auto"/>
              <w:left w:val="single" w:sz="6" w:space="0" w:color="auto"/>
              <w:bottom w:val="single" w:sz="6" w:space="0" w:color="auto"/>
            </w:tcBorders>
            <w:vAlign w:val="center"/>
          </w:tcPr>
          <w:p w14:paraId="53D22FB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306C5C5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C9A587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384128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AEF0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048B5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ECC83C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81E7B3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546B085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2BAD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27 029</w:t>
            </w:r>
          </w:p>
        </w:tc>
        <w:tc>
          <w:tcPr>
            <w:tcW w:w="1645" w:type="dxa"/>
            <w:gridSpan w:val="2"/>
            <w:tcBorders>
              <w:top w:val="single" w:sz="6" w:space="0" w:color="auto"/>
              <w:left w:val="single" w:sz="6" w:space="0" w:color="auto"/>
              <w:bottom w:val="single" w:sz="6" w:space="0" w:color="auto"/>
            </w:tcBorders>
            <w:vAlign w:val="center"/>
          </w:tcPr>
          <w:p w14:paraId="0B999A9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26 271</w:t>
            </w:r>
          </w:p>
        </w:tc>
      </w:tr>
      <w:tr w:rsidR="00000000" w14:paraId="2E73CCF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6E8128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301AB4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B9CE9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35 032</w:t>
            </w:r>
          </w:p>
        </w:tc>
        <w:tc>
          <w:tcPr>
            <w:tcW w:w="1645" w:type="dxa"/>
            <w:gridSpan w:val="2"/>
            <w:tcBorders>
              <w:top w:val="single" w:sz="6" w:space="0" w:color="auto"/>
              <w:left w:val="single" w:sz="6" w:space="0" w:color="auto"/>
              <w:bottom w:val="single" w:sz="6" w:space="0" w:color="auto"/>
            </w:tcBorders>
            <w:vAlign w:val="center"/>
          </w:tcPr>
          <w:p w14:paraId="1DB7C7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34 854</w:t>
            </w:r>
          </w:p>
        </w:tc>
      </w:tr>
      <w:tr w:rsidR="00000000" w14:paraId="7B1FEBE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B8B753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201C12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F7CA1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( 8 003 )</w:t>
            </w:r>
          </w:p>
        </w:tc>
        <w:tc>
          <w:tcPr>
            <w:tcW w:w="1645" w:type="dxa"/>
            <w:gridSpan w:val="2"/>
            <w:tcBorders>
              <w:top w:val="single" w:sz="6" w:space="0" w:color="auto"/>
              <w:left w:val="single" w:sz="6" w:space="0" w:color="auto"/>
              <w:bottom w:val="single" w:sz="6" w:space="0" w:color="auto"/>
            </w:tcBorders>
            <w:vAlign w:val="center"/>
          </w:tcPr>
          <w:p w14:paraId="10111A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( 8 583 )</w:t>
            </w:r>
          </w:p>
        </w:tc>
      </w:tr>
      <w:tr w:rsidR="00000000" w14:paraId="13FFFE0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2A9348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00515A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C019F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5568A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BF919C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EC0001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06CF83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F8E60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49DFC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D8E48F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E5E82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0AC992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0FBBB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0A178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79E0272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69254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6C51B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B419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235ED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D31ACE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74C267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2F6C8E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AD4E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DB0A83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A4C496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5C2136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316FEE6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1A9D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4E18D9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EAFB5B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BA8C1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40C420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4DA99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0F709FD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621B5CD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5DC29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r>
              <w:rPr>
                <w:rFonts w:ascii="Times New Roman CYR" w:hAnsi="Times New Roman CYR" w:cs="Times New Roman CYR"/>
                <w:kern w:val="0"/>
                <w:sz w:val="22"/>
                <w:szCs w:val="22"/>
              </w:rPr>
              <w:t>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4A28F2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DA7A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BAD4A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389955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EC63B3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5DA77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36F1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BE321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B061CB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03373B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10EAFB0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AD74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6489E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F5EB58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488E6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303BC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6FAF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4AA2B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7CC720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F66F1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1B49E1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508D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94143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A7EE2F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93E1CC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7EE3C4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E90A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14A4D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CD93F5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0D693C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52F0C0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0526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5A458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9EB851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55F2AF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F0041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DB3B4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07D17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C257AF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B5E15A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37294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DB1CF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27 059</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29736CE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26 271</w:t>
            </w:r>
          </w:p>
        </w:tc>
      </w:tr>
      <w:tr w:rsidR="00000000" w14:paraId="1D57BC8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4EB0D2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86561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449D4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5F716C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8E480B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9E841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6E16C69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CE16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51</w:t>
            </w:r>
          </w:p>
        </w:tc>
        <w:tc>
          <w:tcPr>
            <w:tcW w:w="1645" w:type="dxa"/>
            <w:gridSpan w:val="2"/>
            <w:tcBorders>
              <w:top w:val="single" w:sz="6" w:space="0" w:color="auto"/>
              <w:left w:val="single" w:sz="6" w:space="0" w:color="auto"/>
              <w:bottom w:val="single" w:sz="6" w:space="0" w:color="auto"/>
            </w:tcBorders>
            <w:vAlign w:val="center"/>
          </w:tcPr>
          <w:p w14:paraId="4F48DA1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w:t>
            </w:r>
          </w:p>
        </w:tc>
      </w:tr>
      <w:tr w:rsidR="00000000" w14:paraId="42C22C9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12A17A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36DA96E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DC9E1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51</w:t>
            </w:r>
          </w:p>
        </w:tc>
        <w:tc>
          <w:tcPr>
            <w:tcW w:w="1645" w:type="dxa"/>
            <w:gridSpan w:val="2"/>
            <w:tcBorders>
              <w:top w:val="single" w:sz="6" w:space="0" w:color="auto"/>
              <w:left w:val="single" w:sz="6" w:space="0" w:color="auto"/>
              <w:bottom w:val="single" w:sz="6" w:space="0" w:color="auto"/>
            </w:tcBorders>
            <w:vAlign w:val="center"/>
          </w:tcPr>
          <w:p w14:paraId="7CAAE2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w:t>
            </w:r>
          </w:p>
        </w:tc>
      </w:tr>
      <w:tr w:rsidR="00000000" w14:paraId="67701CC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E356F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5314A7F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7CEE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5D56A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9316C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30E0A3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5CAAB1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710CE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B09D0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F90B31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FDEA54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1B77FA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D2BD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3B205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1714AB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D341D4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6353FA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AC5C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A5BDE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E494A9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4B90F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80528B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F7341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E97529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50F628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CBE8E7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556D4E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5F6B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0ACED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580CBA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A443F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573C0C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C089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54</w:t>
            </w:r>
          </w:p>
        </w:tc>
        <w:tc>
          <w:tcPr>
            <w:tcW w:w="1645" w:type="dxa"/>
            <w:gridSpan w:val="2"/>
            <w:tcBorders>
              <w:top w:val="single" w:sz="6" w:space="0" w:color="auto"/>
              <w:left w:val="single" w:sz="6" w:space="0" w:color="auto"/>
              <w:bottom w:val="single" w:sz="6" w:space="0" w:color="auto"/>
            </w:tcBorders>
            <w:vAlign w:val="center"/>
          </w:tcPr>
          <w:p w14:paraId="3662C0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C70DCB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91223A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07EFABC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9D6B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02218ED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7B958C0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0D11F5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21AB63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1165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w:t>
            </w:r>
          </w:p>
        </w:tc>
        <w:tc>
          <w:tcPr>
            <w:tcW w:w="1645" w:type="dxa"/>
            <w:gridSpan w:val="2"/>
            <w:tcBorders>
              <w:top w:val="single" w:sz="6" w:space="0" w:color="auto"/>
              <w:left w:val="single" w:sz="6" w:space="0" w:color="auto"/>
              <w:bottom w:val="single" w:sz="6" w:space="0" w:color="auto"/>
            </w:tcBorders>
            <w:vAlign w:val="center"/>
          </w:tcPr>
          <w:p w14:paraId="017834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w:t>
            </w:r>
          </w:p>
        </w:tc>
      </w:tr>
      <w:tr w:rsidR="00000000" w14:paraId="4AB4CD9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329B24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61A902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BD643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w:t>
            </w:r>
          </w:p>
        </w:tc>
        <w:tc>
          <w:tcPr>
            <w:tcW w:w="1645" w:type="dxa"/>
            <w:gridSpan w:val="2"/>
            <w:tcBorders>
              <w:top w:val="single" w:sz="6" w:space="0" w:color="auto"/>
              <w:left w:val="single" w:sz="6" w:space="0" w:color="auto"/>
              <w:bottom w:val="single" w:sz="6" w:space="0" w:color="auto"/>
            </w:tcBorders>
            <w:vAlign w:val="center"/>
          </w:tcPr>
          <w:p w14:paraId="55E4EF1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w:t>
            </w:r>
          </w:p>
        </w:tc>
      </w:tr>
      <w:tr w:rsidR="00000000" w14:paraId="74EBF12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5403F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CD7823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AABAC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ACBBB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9B9144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A904C0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2CC071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C352C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264</w:t>
            </w:r>
          </w:p>
        </w:tc>
        <w:tc>
          <w:tcPr>
            <w:tcW w:w="1645" w:type="dxa"/>
            <w:gridSpan w:val="2"/>
            <w:tcBorders>
              <w:top w:val="single" w:sz="6" w:space="0" w:color="auto"/>
              <w:left w:val="single" w:sz="6" w:space="0" w:color="auto"/>
              <w:bottom w:val="single" w:sz="6" w:space="0" w:color="auto"/>
            </w:tcBorders>
            <w:vAlign w:val="center"/>
          </w:tcPr>
          <w:p w14:paraId="794C28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108</w:t>
            </w:r>
          </w:p>
        </w:tc>
      </w:tr>
      <w:tr w:rsidR="00000000" w14:paraId="63150BA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C4CBB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36BA06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9F4A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EFEE1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8B856A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96CDB9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2031D6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0381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627</w:t>
            </w:r>
          </w:p>
        </w:tc>
        <w:tc>
          <w:tcPr>
            <w:tcW w:w="1645" w:type="dxa"/>
            <w:gridSpan w:val="2"/>
            <w:tcBorders>
              <w:top w:val="single" w:sz="6" w:space="0" w:color="auto"/>
              <w:left w:val="single" w:sz="6" w:space="0" w:color="auto"/>
              <w:bottom w:val="single" w:sz="6" w:space="0" w:color="auto"/>
            </w:tcBorders>
            <w:vAlign w:val="center"/>
          </w:tcPr>
          <w:p w14:paraId="2890DE9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r w:rsidR="00000000" w14:paraId="426D1E8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2E0C13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736173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A881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37 800</w:t>
            </w:r>
          </w:p>
        </w:tc>
        <w:tc>
          <w:tcPr>
            <w:tcW w:w="1645" w:type="dxa"/>
            <w:gridSpan w:val="2"/>
            <w:tcBorders>
              <w:top w:val="single" w:sz="6" w:space="0" w:color="auto"/>
              <w:left w:val="single" w:sz="6" w:space="0" w:color="auto"/>
              <w:bottom w:val="single" w:sz="6" w:space="0" w:color="auto"/>
            </w:tcBorders>
            <w:vAlign w:val="center"/>
          </w:tcPr>
          <w:p w14:paraId="676C57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5F8AB1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F3828B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587E8C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E2231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1 732</w:t>
            </w:r>
          </w:p>
        </w:tc>
        <w:tc>
          <w:tcPr>
            <w:tcW w:w="1645" w:type="dxa"/>
            <w:gridSpan w:val="2"/>
            <w:tcBorders>
              <w:top w:val="single" w:sz="6" w:space="0" w:color="auto"/>
              <w:left w:val="single" w:sz="6" w:space="0" w:color="auto"/>
              <w:bottom w:val="single" w:sz="6" w:space="0" w:color="auto"/>
            </w:tcBorders>
            <w:vAlign w:val="center"/>
          </w:tcPr>
          <w:p w14:paraId="4368C92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r>
      <w:tr w:rsidR="00000000" w14:paraId="78D5406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FC767D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2FE88E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AD09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45415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DFF42E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8155F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56EE49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8B6F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1 732</w:t>
            </w:r>
          </w:p>
        </w:tc>
        <w:tc>
          <w:tcPr>
            <w:tcW w:w="1645" w:type="dxa"/>
            <w:gridSpan w:val="2"/>
            <w:tcBorders>
              <w:top w:val="single" w:sz="6" w:space="0" w:color="auto"/>
              <w:left w:val="single" w:sz="6" w:space="0" w:color="auto"/>
              <w:bottom w:val="single" w:sz="6" w:space="0" w:color="auto"/>
            </w:tcBorders>
            <w:vAlign w:val="center"/>
          </w:tcPr>
          <w:p w14:paraId="164206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r>
      <w:tr w:rsidR="00000000" w14:paraId="5B0D54C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4B63D7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1E608B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D440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1B6C0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593C36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97B08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6FF49C2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186C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645" w:type="dxa"/>
            <w:gridSpan w:val="2"/>
            <w:tcBorders>
              <w:top w:val="single" w:sz="6" w:space="0" w:color="auto"/>
              <w:left w:val="single" w:sz="6" w:space="0" w:color="auto"/>
              <w:bottom w:val="single" w:sz="6" w:space="0" w:color="auto"/>
            </w:tcBorders>
            <w:vAlign w:val="center"/>
          </w:tcPr>
          <w:p w14:paraId="420CF1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F1E182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0BBA7E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0A25E55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DC4E4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20B4474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7116D36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0904E1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3B112A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94FE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AFCD8D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7745A5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3B995A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51ADE8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B88F2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645" w:type="dxa"/>
            <w:gridSpan w:val="2"/>
            <w:tcBorders>
              <w:top w:val="single" w:sz="6" w:space="0" w:color="auto"/>
              <w:left w:val="single" w:sz="6" w:space="0" w:color="auto"/>
              <w:bottom w:val="single" w:sz="6" w:space="0" w:color="auto"/>
            </w:tcBorders>
            <w:vAlign w:val="center"/>
          </w:tcPr>
          <w:p w14:paraId="1E57C0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90D4D9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5BB57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6F1339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F8D8A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40403A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003AFA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E66D34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49C520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759A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CAC10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69832A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875E5E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E01486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4352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BBF57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ACF355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7DB3E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1014E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A3690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40 676</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4A4742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21 558</w:t>
            </w:r>
          </w:p>
        </w:tc>
      </w:tr>
      <w:tr w:rsidR="00000000" w14:paraId="4AE2FED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A3F1D3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2504D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DC299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D8323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8BCA8D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1571BE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5D738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C92F1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67 735</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C461C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47 829</w:t>
            </w:r>
          </w:p>
        </w:tc>
      </w:tr>
    </w:tbl>
    <w:p w14:paraId="08A64D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14:paraId="5FAFBB9C" w14:textId="77777777">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6EFC21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99C39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95406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077CF4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звітного періоду</w:t>
            </w:r>
          </w:p>
        </w:tc>
      </w:tr>
      <w:tr w:rsidR="00000000" w14:paraId="1924DBE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73BD2D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3B7572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23AA4C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tcPr>
          <w:p w14:paraId="574BFC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86C98E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614301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F85A4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50B04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shd w:val="clear" w:color="auto" w:fill="E6E6E6"/>
            <w:vAlign w:val="center"/>
          </w:tcPr>
          <w:p w14:paraId="12B658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2F32D72" w14:textId="77777777">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14:paraId="7932E7A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30EDD6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2F5438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645" w:type="dxa"/>
            <w:tcBorders>
              <w:top w:val="single" w:sz="6" w:space="0" w:color="auto"/>
              <w:left w:val="single" w:sz="6" w:space="0" w:color="auto"/>
              <w:bottom w:val="single" w:sz="6" w:space="0" w:color="auto"/>
            </w:tcBorders>
            <w:vAlign w:val="center"/>
          </w:tcPr>
          <w:p w14:paraId="4D0B3B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r>
      <w:tr w:rsidR="00000000" w14:paraId="66FDC3C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623436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11DCDF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617E62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8830F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9FB498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04C98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057A1C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38A641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16 330</w:t>
            </w:r>
          </w:p>
        </w:tc>
        <w:tc>
          <w:tcPr>
            <w:tcW w:w="1645" w:type="dxa"/>
            <w:tcBorders>
              <w:top w:val="single" w:sz="6" w:space="0" w:color="auto"/>
              <w:left w:val="single" w:sz="6" w:space="0" w:color="auto"/>
              <w:bottom w:val="single" w:sz="6" w:space="0" w:color="auto"/>
            </w:tcBorders>
            <w:vAlign w:val="center"/>
          </w:tcPr>
          <w:p w14:paraId="5D34B4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15 972</w:t>
            </w:r>
          </w:p>
        </w:tc>
      </w:tr>
      <w:tr w:rsidR="00000000" w14:paraId="3F6BCA5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840071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5B5D22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1EF2E9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12 000</w:t>
            </w:r>
          </w:p>
        </w:tc>
        <w:tc>
          <w:tcPr>
            <w:tcW w:w="1645" w:type="dxa"/>
            <w:tcBorders>
              <w:top w:val="single" w:sz="6" w:space="0" w:color="auto"/>
              <w:left w:val="single" w:sz="6" w:space="0" w:color="auto"/>
              <w:bottom w:val="single" w:sz="6" w:space="0" w:color="auto"/>
            </w:tcBorders>
            <w:vAlign w:val="center"/>
          </w:tcPr>
          <w:p w14:paraId="67F50FC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243F0B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53E658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65C940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74C546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F31BD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DA1C8D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375D38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1A3FB27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18AF28D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2BED29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CF89DF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A1CB3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3FE26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181C5E3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575</w:t>
            </w:r>
          </w:p>
        </w:tc>
        <w:tc>
          <w:tcPr>
            <w:tcW w:w="1645" w:type="dxa"/>
            <w:tcBorders>
              <w:top w:val="single" w:sz="6" w:space="0" w:color="auto"/>
              <w:left w:val="single" w:sz="6" w:space="0" w:color="auto"/>
              <w:bottom w:val="single" w:sz="6" w:space="0" w:color="auto"/>
            </w:tcBorders>
            <w:vAlign w:val="center"/>
          </w:tcPr>
          <w:p w14:paraId="1357DE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659</w:t>
            </w:r>
          </w:p>
        </w:tc>
      </w:tr>
      <w:tr w:rsidR="00000000" w14:paraId="3F4C7C9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8D0228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43CA93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4D774D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5 221</w:t>
            </w:r>
          </w:p>
        </w:tc>
        <w:tc>
          <w:tcPr>
            <w:tcW w:w="1645" w:type="dxa"/>
            <w:tcBorders>
              <w:top w:val="single" w:sz="6" w:space="0" w:color="auto"/>
              <w:left w:val="single" w:sz="6" w:space="0" w:color="auto"/>
              <w:bottom w:val="single" w:sz="6" w:space="0" w:color="auto"/>
            </w:tcBorders>
            <w:vAlign w:val="center"/>
          </w:tcPr>
          <w:p w14:paraId="74E63A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7 149</w:t>
            </w:r>
          </w:p>
        </w:tc>
      </w:tr>
      <w:tr w:rsidR="00000000" w14:paraId="61EAA94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454EE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796178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2B51809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tcBorders>
              <w:top w:val="single" w:sz="6" w:space="0" w:color="auto"/>
              <w:left w:val="single" w:sz="6" w:space="0" w:color="auto"/>
              <w:bottom w:val="single" w:sz="6" w:space="0" w:color="auto"/>
            </w:tcBorders>
            <w:vAlign w:val="center"/>
          </w:tcPr>
          <w:p w14:paraId="70BEC72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3993E07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6E38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596765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6EA69DE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tcBorders>
              <w:top w:val="single" w:sz="6" w:space="0" w:color="auto"/>
              <w:left w:val="single" w:sz="6" w:space="0" w:color="auto"/>
              <w:bottom w:val="single" w:sz="6" w:space="0" w:color="auto"/>
            </w:tcBorders>
            <w:vAlign w:val="center"/>
          </w:tcPr>
          <w:p w14:paraId="0905AB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48994FF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917530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0ED921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3AF6D6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A9F9E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B668C1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C9D7D0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0D1C4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A6AE4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55 126</w:t>
            </w:r>
          </w:p>
        </w:tc>
        <w:tc>
          <w:tcPr>
            <w:tcW w:w="1645" w:type="dxa"/>
            <w:tcBorders>
              <w:top w:val="single" w:sz="6" w:space="0" w:color="auto"/>
              <w:left w:val="single" w:sz="6" w:space="0" w:color="auto"/>
              <w:bottom w:val="single" w:sz="6" w:space="0" w:color="auto"/>
            </w:tcBorders>
            <w:shd w:val="clear" w:color="auto" w:fill="E6E6E6"/>
            <w:vAlign w:val="center"/>
          </w:tcPr>
          <w:p w14:paraId="41BB59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44 780</w:t>
            </w:r>
          </w:p>
        </w:tc>
      </w:tr>
      <w:tr w:rsidR="00000000" w14:paraId="5193D65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81909B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395EC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99DAC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shd w:val="clear" w:color="auto" w:fill="E6E6E6"/>
            <w:vAlign w:val="center"/>
          </w:tcPr>
          <w:p w14:paraId="50F4920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1788F9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F92846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22ED16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7C7BFB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2 642</w:t>
            </w:r>
          </w:p>
        </w:tc>
        <w:tc>
          <w:tcPr>
            <w:tcW w:w="1645" w:type="dxa"/>
            <w:tcBorders>
              <w:top w:val="single" w:sz="6" w:space="0" w:color="auto"/>
              <w:left w:val="single" w:sz="6" w:space="0" w:color="auto"/>
              <w:bottom w:val="single" w:sz="6" w:space="0" w:color="auto"/>
            </w:tcBorders>
            <w:vAlign w:val="center"/>
          </w:tcPr>
          <w:p w14:paraId="3B77E4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2 553</w:t>
            </w:r>
          </w:p>
        </w:tc>
      </w:tr>
      <w:tr w:rsidR="00000000" w14:paraId="260F6F2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929BB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211830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38078F1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5096F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D3BF99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927594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359897D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3A04E8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946D3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855508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0E30A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010EC3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2E6C00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006832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A18B85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BFE98B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313614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02AB1F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9D3B6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A55E39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16467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73F5A6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31F419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C76F30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30409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C0879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C35DA5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3905CA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E3429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8EC760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029EFA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53DB2EC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1A9F98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7BAEB9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047B36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793F6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0082A0E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2E6448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7 552</w:t>
            </w:r>
          </w:p>
        </w:tc>
        <w:tc>
          <w:tcPr>
            <w:tcW w:w="1645" w:type="dxa"/>
            <w:tcBorders>
              <w:top w:val="single" w:sz="6" w:space="0" w:color="auto"/>
              <w:left w:val="single" w:sz="6" w:space="0" w:color="auto"/>
              <w:bottom w:val="single" w:sz="6" w:space="0" w:color="auto"/>
            </w:tcBorders>
            <w:vAlign w:val="center"/>
          </w:tcPr>
          <w:p w14:paraId="583625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1D1319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9B9AF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739B7A8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14:paraId="2EB8B2C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vAlign w:val="center"/>
          </w:tcPr>
          <w:p w14:paraId="7EAF9AC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4C194DC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1672B9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2DFF33B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3270C0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7 452</w:t>
            </w:r>
          </w:p>
        </w:tc>
        <w:tc>
          <w:tcPr>
            <w:tcW w:w="1645" w:type="dxa"/>
            <w:tcBorders>
              <w:top w:val="single" w:sz="6" w:space="0" w:color="auto"/>
              <w:left w:val="single" w:sz="6" w:space="0" w:color="auto"/>
              <w:bottom w:val="single" w:sz="6" w:space="0" w:color="auto"/>
            </w:tcBorders>
            <w:vAlign w:val="center"/>
          </w:tcPr>
          <w:p w14:paraId="2A8BB1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06EB42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1C9FF9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3D5E5EE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686C90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645" w:type="dxa"/>
            <w:tcBorders>
              <w:top w:val="single" w:sz="6" w:space="0" w:color="auto"/>
              <w:left w:val="single" w:sz="6" w:space="0" w:color="auto"/>
              <w:bottom w:val="single" w:sz="6" w:space="0" w:color="auto"/>
            </w:tcBorders>
            <w:vAlign w:val="center"/>
          </w:tcPr>
          <w:p w14:paraId="27F441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6C9A78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2013DF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54B3F1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163ACBA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8A401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AC6D55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12C51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0C42D1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7A6110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8B4CA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4A87A4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8F2924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1CE20E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2757D4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F7B9F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66A9F4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E688B1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0BAD48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11B0F7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D11FED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B29E6F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36D35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14:paraId="0FA90B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633644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3E960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C5F111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18ED1E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F18210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BB8D32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10 194</w:t>
            </w:r>
          </w:p>
        </w:tc>
        <w:tc>
          <w:tcPr>
            <w:tcW w:w="1645" w:type="dxa"/>
            <w:tcBorders>
              <w:top w:val="single" w:sz="6" w:space="0" w:color="auto"/>
              <w:left w:val="single" w:sz="6" w:space="0" w:color="auto"/>
              <w:bottom w:val="single" w:sz="6" w:space="0" w:color="auto"/>
            </w:tcBorders>
            <w:shd w:val="clear" w:color="auto" w:fill="E6E6E6"/>
            <w:vAlign w:val="center"/>
          </w:tcPr>
          <w:p w14:paraId="2C895A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2 553</w:t>
            </w:r>
          </w:p>
        </w:tc>
      </w:tr>
      <w:tr w:rsidR="00000000" w14:paraId="26EF223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61F851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24250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50E63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shd w:val="clear" w:color="auto" w:fill="E6E6E6"/>
            <w:vAlign w:val="center"/>
          </w:tcPr>
          <w:p w14:paraId="641579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D9C31A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EFF6E6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683BD6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5AA7F3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82CE6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3EE89E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C2ABE6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2ED70E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0B66179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6A49B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4A2EAA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12DBEF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53048F6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14:paraId="70FD61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vAlign w:val="center"/>
          </w:tcPr>
          <w:p w14:paraId="4385874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4DBE1CA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912112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35287C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6D44CB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032F6EE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F6B6F1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15F491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0F837D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42726D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AD7AF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A17791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7917F5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03CF69F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4720695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724</w:t>
            </w:r>
          </w:p>
        </w:tc>
        <w:tc>
          <w:tcPr>
            <w:tcW w:w="1645" w:type="dxa"/>
            <w:tcBorders>
              <w:top w:val="single" w:sz="6" w:space="0" w:color="auto"/>
              <w:left w:val="single" w:sz="6" w:space="0" w:color="auto"/>
              <w:bottom w:val="single" w:sz="6" w:space="0" w:color="auto"/>
            </w:tcBorders>
            <w:vAlign w:val="center"/>
          </w:tcPr>
          <w:p w14:paraId="417615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437</w:t>
            </w:r>
          </w:p>
        </w:tc>
      </w:tr>
      <w:tr w:rsidR="00000000" w14:paraId="6E3815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18DA9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2B7B84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6D2616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686</w:t>
            </w:r>
          </w:p>
        </w:tc>
        <w:tc>
          <w:tcPr>
            <w:tcW w:w="1645" w:type="dxa"/>
            <w:tcBorders>
              <w:top w:val="single" w:sz="6" w:space="0" w:color="auto"/>
              <w:left w:val="single" w:sz="6" w:space="0" w:color="auto"/>
              <w:bottom w:val="single" w:sz="6" w:space="0" w:color="auto"/>
            </w:tcBorders>
            <w:vAlign w:val="center"/>
          </w:tcPr>
          <w:p w14:paraId="6939ECA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417</w:t>
            </w:r>
          </w:p>
        </w:tc>
      </w:tr>
      <w:tr w:rsidR="00000000" w14:paraId="42E8EC0F"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8A2E1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BB8DD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1E25ACF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645" w:type="dxa"/>
            <w:tcBorders>
              <w:top w:val="single" w:sz="6" w:space="0" w:color="auto"/>
              <w:left w:val="single" w:sz="6" w:space="0" w:color="auto"/>
              <w:bottom w:val="single" w:sz="6" w:space="0" w:color="auto"/>
            </w:tcBorders>
            <w:vAlign w:val="center"/>
          </w:tcPr>
          <w:p w14:paraId="2669C6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2A0F182"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CB4D9D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4116A1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1C44E1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w:t>
            </w:r>
          </w:p>
        </w:tc>
        <w:tc>
          <w:tcPr>
            <w:tcW w:w="1645" w:type="dxa"/>
            <w:tcBorders>
              <w:top w:val="single" w:sz="6" w:space="0" w:color="auto"/>
              <w:left w:val="single" w:sz="6" w:space="0" w:color="auto"/>
              <w:bottom w:val="single" w:sz="6" w:space="0" w:color="auto"/>
            </w:tcBorders>
            <w:vAlign w:val="center"/>
          </w:tcPr>
          <w:p w14:paraId="198732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000000" w14:paraId="632BCFBB"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35E04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68CC9D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0CB9F9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55ACD9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19BA257"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2CD1F5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3238F1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4DA3F5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61FEB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0A63F39"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AAFA69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7F96D7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58D74C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56A770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43D389F"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4D4591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516A395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7326C0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632</w:t>
            </w:r>
          </w:p>
        </w:tc>
        <w:tc>
          <w:tcPr>
            <w:tcW w:w="1645" w:type="dxa"/>
            <w:tcBorders>
              <w:top w:val="single" w:sz="6" w:space="0" w:color="auto"/>
              <w:left w:val="single" w:sz="6" w:space="0" w:color="auto"/>
              <w:bottom w:val="single" w:sz="6" w:space="0" w:color="auto"/>
            </w:tcBorders>
            <w:vAlign w:val="center"/>
          </w:tcPr>
          <w:p w14:paraId="30A3BA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3F07410"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BB1E0F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421015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7E2360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1 018</w:t>
            </w:r>
          </w:p>
        </w:tc>
        <w:tc>
          <w:tcPr>
            <w:tcW w:w="1645" w:type="dxa"/>
            <w:tcBorders>
              <w:top w:val="single" w:sz="6" w:space="0" w:color="auto"/>
              <w:left w:val="single" w:sz="6" w:space="0" w:color="auto"/>
              <w:bottom w:val="single" w:sz="6" w:space="0" w:color="auto"/>
            </w:tcBorders>
            <w:vAlign w:val="center"/>
          </w:tcPr>
          <w:p w14:paraId="2E3074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56</w:t>
            </w:r>
          </w:p>
        </w:tc>
      </w:tr>
      <w:tr w:rsidR="00000000" w14:paraId="1C092F4E"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AA14F3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696812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58A029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3721E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921F74E"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76881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14:paraId="6F2F89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0DB67B1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C9D49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92CD200"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7192E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3C1B88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07402B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3C720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8EB9C1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7811D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F65AA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A5DBE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2 415</w:t>
            </w:r>
          </w:p>
        </w:tc>
        <w:tc>
          <w:tcPr>
            <w:tcW w:w="1645" w:type="dxa"/>
            <w:tcBorders>
              <w:top w:val="single" w:sz="6" w:space="0" w:color="auto"/>
              <w:left w:val="single" w:sz="6" w:space="0" w:color="auto"/>
              <w:bottom w:val="single" w:sz="6" w:space="0" w:color="auto"/>
            </w:tcBorders>
            <w:shd w:val="clear" w:color="auto" w:fill="E6E6E6"/>
            <w:vAlign w:val="center"/>
          </w:tcPr>
          <w:p w14:paraId="095B26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496</w:t>
            </w:r>
          </w:p>
        </w:tc>
      </w:tr>
      <w:tr w:rsidR="00000000" w14:paraId="4F1D631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1CF61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BD9EC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2411A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shd w:val="clear" w:color="auto" w:fill="E6E6E6"/>
            <w:vAlign w:val="center"/>
          </w:tcPr>
          <w:p w14:paraId="6693CC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A332891" w14:textId="77777777">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56F9B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15AEAE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6963E63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883FAA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544889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7A804F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3D42E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DFE82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67 735</w:t>
            </w:r>
          </w:p>
        </w:tc>
        <w:tc>
          <w:tcPr>
            <w:tcW w:w="1645" w:type="dxa"/>
            <w:tcBorders>
              <w:top w:val="single" w:sz="6" w:space="0" w:color="auto"/>
              <w:left w:val="single" w:sz="6" w:space="0" w:color="auto"/>
              <w:bottom w:val="single" w:sz="6" w:space="0" w:color="auto"/>
            </w:tcBorders>
            <w:shd w:val="clear" w:color="auto" w:fill="E6E6E6"/>
            <w:vAlign w:val="center"/>
          </w:tcPr>
          <w:p w14:paraId="07EE8A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47 829</w:t>
            </w:r>
          </w:p>
        </w:tc>
      </w:tr>
    </w:tbl>
    <w:p w14:paraId="11393A9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5B8960A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404D26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6AC636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135D3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190D1D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14:paraId="1B630ACF" w14:textId="77777777">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272040C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000000" w14:paraId="621E100C" w14:textId="77777777">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14:paraId="41A27739"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10C49F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01.01.2025</w:t>
            </w:r>
          </w:p>
        </w:tc>
      </w:tr>
      <w:tr w:rsidR="00000000" w14:paraId="18115C4D" w14:textId="77777777">
        <w:tblPrEx>
          <w:tblCellMar>
            <w:top w:w="0" w:type="dxa"/>
            <w:bottom w:w="0" w:type="dxa"/>
          </w:tblCellMar>
        </w:tblPrEx>
        <w:trPr>
          <w:trHeight w:val="298"/>
        </w:trPr>
        <w:tc>
          <w:tcPr>
            <w:tcW w:w="2160" w:type="dxa"/>
            <w:tcBorders>
              <w:top w:val="nil"/>
              <w:left w:val="nil"/>
              <w:bottom w:val="nil"/>
              <w:right w:val="nil"/>
            </w:tcBorders>
            <w:vAlign w:val="center"/>
          </w:tcPr>
          <w:p w14:paraId="365A863C"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66" w:type="dxa"/>
            <w:tcBorders>
              <w:top w:val="nil"/>
              <w:left w:val="nil"/>
              <w:bottom w:val="nil"/>
              <w:right w:val="nil"/>
            </w:tcBorders>
            <w:vAlign w:val="center"/>
          </w:tcPr>
          <w:p w14:paraId="49DC788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654" w:type="dxa"/>
            <w:tcBorders>
              <w:top w:val="nil"/>
              <w:left w:val="nil"/>
              <w:bottom w:val="nil"/>
              <w:right w:val="single" w:sz="6" w:space="0" w:color="auto"/>
            </w:tcBorders>
            <w:vAlign w:val="center"/>
          </w:tcPr>
          <w:p w14:paraId="2A088685"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241D6DF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bl>
    <w:p w14:paraId="6D0EC4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6A89A4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фінансові результати</w:t>
      </w:r>
    </w:p>
    <w:p w14:paraId="3D702A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сукупний дохід)</w:t>
      </w:r>
    </w:p>
    <w:p w14:paraId="13101B1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2024 рік</w:t>
      </w:r>
    </w:p>
    <w:p w14:paraId="6BECAB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№2</w:t>
      </w:r>
    </w:p>
    <w:p w14:paraId="7170E6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14:paraId="2DDB739A" w14:textId="77777777">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14:paraId="133ED2FD"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349" w:type="dxa"/>
            <w:tcBorders>
              <w:top w:val="single" w:sz="6" w:space="0" w:color="auto"/>
              <w:left w:val="single" w:sz="6" w:space="0" w:color="auto"/>
              <w:bottom w:val="single" w:sz="6" w:space="0" w:color="auto"/>
            </w:tcBorders>
          </w:tcPr>
          <w:p w14:paraId="6C30F95E"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1801003</w:t>
            </w:r>
          </w:p>
        </w:tc>
      </w:tr>
      <w:tr w:rsidR="00000000" w14:paraId="03BEE4BA" w14:textId="77777777">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56EE96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A1108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A90C7D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3F5039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000000" w14:paraId="618842C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4D5958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7B3C1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461223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40FA68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132CFA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375C5C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1831FB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7FAAE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CCD0B2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00A3BE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5563C9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185F932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9BE86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53</w:t>
            </w:r>
          </w:p>
        </w:tc>
        <w:tc>
          <w:tcPr>
            <w:tcW w:w="1645" w:type="dxa"/>
            <w:gridSpan w:val="2"/>
            <w:tcBorders>
              <w:top w:val="single" w:sz="6" w:space="0" w:color="auto"/>
              <w:left w:val="single" w:sz="6" w:space="0" w:color="auto"/>
              <w:bottom w:val="single" w:sz="6" w:space="0" w:color="auto"/>
            </w:tcBorders>
            <w:vAlign w:val="center"/>
          </w:tcPr>
          <w:p w14:paraId="693061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293</w:t>
            </w:r>
          </w:p>
        </w:tc>
      </w:tr>
      <w:tr w:rsidR="00000000" w14:paraId="3FB14C6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3A8C06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1BE9B45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B93AC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53</w:t>
            </w:r>
          </w:p>
        </w:tc>
        <w:tc>
          <w:tcPr>
            <w:tcW w:w="1645" w:type="dxa"/>
            <w:gridSpan w:val="2"/>
            <w:tcBorders>
              <w:top w:val="single" w:sz="6" w:space="0" w:color="auto"/>
              <w:left w:val="single" w:sz="6" w:space="0" w:color="auto"/>
              <w:bottom w:val="single" w:sz="6" w:space="0" w:color="auto"/>
            </w:tcBorders>
            <w:vAlign w:val="center"/>
          </w:tcPr>
          <w:p w14:paraId="30120E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293</w:t>
            </w:r>
          </w:p>
        </w:tc>
      </w:tr>
      <w:tr w:rsidR="00000000" w14:paraId="44C8B3C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FCD03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6FED3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F352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9A046C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E33279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2A6F2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39BC89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ECDE2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A12CC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616606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B82B2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200139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06F7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8447A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18AE8F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37C3DF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062B0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22DB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( 1 000 )</w:t>
            </w:r>
          </w:p>
        </w:tc>
        <w:tc>
          <w:tcPr>
            <w:tcW w:w="1645" w:type="dxa"/>
            <w:gridSpan w:val="2"/>
            <w:tcBorders>
              <w:top w:val="single" w:sz="6" w:space="0" w:color="auto"/>
              <w:left w:val="single" w:sz="6" w:space="0" w:color="auto"/>
              <w:bottom w:val="single" w:sz="6" w:space="0" w:color="auto"/>
            </w:tcBorders>
            <w:vAlign w:val="center"/>
          </w:tcPr>
          <w:p w14:paraId="5538DD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( 1 585 )</w:t>
            </w:r>
          </w:p>
        </w:tc>
      </w:tr>
      <w:tr w:rsidR="00000000" w14:paraId="302DEE6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916F8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1156CAB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AAF6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( 6 433 )</w:t>
            </w:r>
          </w:p>
        </w:tc>
        <w:tc>
          <w:tcPr>
            <w:tcW w:w="1645" w:type="dxa"/>
            <w:gridSpan w:val="2"/>
            <w:tcBorders>
              <w:top w:val="single" w:sz="6" w:space="0" w:color="auto"/>
              <w:left w:val="single" w:sz="6" w:space="0" w:color="auto"/>
              <w:bottom w:val="single" w:sz="6" w:space="0" w:color="auto"/>
            </w:tcBorders>
            <w:vAlign w:val="center"/>
          </w:tcPr>
          <w:p w14:paraId="3EC895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( 4 522 )</w:t>
            </w:r>
          </w:p>
        </w:tc>
      </w:tr>
      <w:tr w:rsidR="00000000" w14:paraId="02CBB35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D1F14A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Валовий:</w:t>
            </w:r>
          </w:p>
          <w:p w14:paraId="5C67DF1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7E798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DB0A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01DD0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98159E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BAC0D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72896C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20A2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( 7 380 )</w:t>
            </w:r>
          </w:p>
        </w:tc>
        <w:tc>
          <w:tcPr>
            <w:tcW w:w="1645" w:type="dxa"/>
            <w:gridSpan w:val="2"/>
            <w:tcBorders>
              <w:top w:val="single" w:sz="6" w:space="0" w:color="auto"/>
              <w:left w:val="single" w:sz="6" w:space="0" w:color="auto"/>
              <w:bottom w:val="single" w:sz="6" w:space="0" w:color="auto"/>
            </w:tcBorders>
            <w:vAlign w:val="center"/>
          </w:tcPr>
          <w:p w14:paraId="080456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( 5 814 )</w:t>
            </w:r>
          </w:p>
        </w:tc>
      </w:tr>
      <w:tr w:rsidR="00000000" w14:paraId="0EBC737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26284F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78943C0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D047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7 452</w:t>
            </w:r>
          </w:p>
        </w:tc>
        <w:tc>
          <w:tcPr>
            <w:tcW w:w="1645" w:type="dxa"/>
            <w:gridSpan w:val="2"/>
            <w:tcBorders>
              <w:top w:val="single" w:sz="6" w:space="0" w:color="auto"/>
              <w:left w:val="single" w:sz="6" w:space="0" w:color="auto"/>
              <w:bottom w:val="single" w:sz="6" w:space="0" w:color="auto"/>
            </w:tcBorders>
            <w:vAlign w:val="center"/>
          </w:tcPr>
          <w:p w14:paraId="7664A9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3 075</w:t>
            </w:r>
          </w:p>
        </w:tc>
      </w:tr>
      <w:tr w:rsidR="00000000" w14:paraId="2624728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EA6064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724BA3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BF664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BC3EB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4F38BEE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F4995B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250108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A5CA9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645" w:type="dxa"/>
            <w:gridSpan w:val="2"/>
            <w:tcBorders>
              <w:top w:val="single" w:sz="6" w:space="0" w:color="auto"/>
              <w:left w:val="single" w:sz="6" w:space="0" w:color="auto"/>
              <w:bottom w:val="single" w:sz="6" w:space="0" w:color="auto"/>
            </w:tcBorders>
            <w:vAlign w:val="center"/>
          </w:tcPr>
          <w:p w14:paraId="7A594F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551</w:t>
            </w:r>
          </w:p>
        </w:tc>
      </w:tr>
      <w:tr w:rsidR="00000000" w14:paraId="7EBDA8E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F000F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505E0B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ECA5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645" w:type="dxa"/>
            <w:gridSpan w:val="2"/>
            <w:tcBorders>
              <w:top w:val="single" w:sz="6" w:space="0" w:color="auto"/>
              <w:left w:val="single" w:sz="6" w:space="0" w:color="auto"/>
              <w:bottom w:val="single" w:sz="6" w:space="0" w:color="auto"/>
            </w:tcBorders>
            <w:vAlign w:val="center"/>
          </w:tcPr>
          <w:p w14:paraId="0B8815E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-547</w:t>
            </w:r>
          </w:p>
        </w:tc>
      </w:tr>
      <w:tr w:rsidR="00000000" w14:paraId="4DA390B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D06235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7F860CF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ACCD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568</w:t>
            </w:r>
          </w:p>
        </w:tc>
        <w:tc>
          <w:tcPr>
            <w:tcW w:w="1645" w:type="dxa"/>
            <w:gridSpan w:val="2"/>
            <w:tcBorders>
              <w:top w:val="single" w:sz="6" w:space="0" w:color="auto"/>
              <w:left w:val="single" w:sz="6" w:space="0" w:color="auto"/>
              <w:bottom w:val="single" w:sz="6" w:space="0" w:color="auto"/>
            </w:tcBorders>
            <w:vAlign w:val="center"/>
          </w:tcPr>
          <w:p w14:paraId="044B08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715</w:t>
            </w:r>
          </w:p>
        </w:tc>
      </w:tr>
      <w:tr w:rsidR="00000000" w14:paraId="7CAED42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6F4BEE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464BD9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E748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1D53D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1A0CC6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A0CC69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372C399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AA5D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0DC61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4D344A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0CDE6C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61B40F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E9790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78BAF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1FA931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7FD61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6E8609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26C9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( 2 376 )</w:t>
            </w:r>
          </w:p>
        </w:tc>
        <w:tc>
          <w:tcPr>
            <w:tcW w:w="1645" w:type="dxa"/>
            <w:gridSpan w:val="2"/>
            <w:tcBorders>
              <w:top w:val="single" w:sz="6" w:space="0" w:color="auto"/>
              <w:left w:val="single" w:sz="6" w:space="0" w:color="auto"/>
              <w:bottom w:val="single" w:sz="6" w:space="0" w:color="auto"/>
            </w:tcBorders>
            <w:vAlign w:val="center"/>
          </w:tcPr>
          <w:p w14:paraId="161A173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( 2 628 )</w:t>
            </w:r>
          </w:p>
        </w:tc>
      </w:tr>
      <w:tr w:rsidR="00000000" w14:paraId="67BDC17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4E8E27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7543FF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C9FDC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BE413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5AB619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5B481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28CF27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2B3C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( 104 )</w:t>
            </w:r>
          </w:p>
        </w:tc>
        <w:tc>
          <w:tcPr>
            <w:tcW w:w="1645" w:type="dxa"/>
            <w:gridSpan w:val="2"/>
            <w:tcBorders>
              <w:top w:val="single" w:sz="6" w:space="0" w:color="auto"/>
              <w:left w:val="single" w:sz="6" w:space="0" w:color="auto"/>
              <w:bottom w:val="single" w:sz="6" w:space="0" w:color="auto"/>
            </w:tcBorders>
            <w:vAlign w:val="center"/>
          </w:tcPr>
          <w:p w14:paraId="4BC1D2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( 78 )</w:t>
            </w:r>
          </w:p>
        </w:tc>
      </w:tr>
      <w:tr w:rsidR="00000000" w14:paraId="5CB168E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ACD0D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27898B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B8C9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604AEC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EE467D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D12154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59C6F0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044E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038676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B79941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B7143A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Фінансовий результат від операційної діяльності:</w:t>
            </w:r>
          </w:p>
          <w:p w14:paraId="733D58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38B76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42FE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D2ABB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605581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232704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040AF3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387B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( 1 840 )</w:t>
            </w:r>
          </w:p>
        </w:tc>
        <w:tc>
          <w:tcPr>
            <w:tcW w:w="1645" w:type="dxa"/>
            <w:gridSpan w:val="2"/>
            <w:tcBorders>
              <w:top w:val="single" w:sz="6" w:space="0" w:color="auto"/>
              <w:left w:val="single" w:sz="6" w:space="0" w:color="auto"/>
              <w:bottom w:val="single" w:sz="6" w:space="0" w:color="auto"/>
            </w:tcBorders>
            <w:vAlign w:val="center"/>
          </w:tcPr>
          <w:p w14:paraId="18E50B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( 4 726 )</w:t>
            </w:r>
          </w:p>
        </w:tc>
      </w:tr>
      <w:tr w:rsidR="00000000" w14:paraId="42166E9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610F0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42F873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74759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ED08F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858C0D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19C723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19D765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5EBE1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3 712</w:t>
            </w:r>
          </w:p>
        </w:tc>
        <w:tc>
          <w:tcPr>
            <w:tcW w:w="1645" w:type="dxa"/>
            <w:gridSpan w:val="2"/>
            <w:tcBorders>
              <w:top w:val="single" w:sz="6" w:space="0" w:color="auto"/>
              <w:left w:val="single" w:sz="6" w:space="0" w:color="auto"/>
              <w:bottom w:val="single" w:sz="6" w:space="0" w:color="auto"/>
            </w:tcBorders>
            <w:vAlign w:val="center"/>
          </w:tcPr>
          <w:p w14:paraId="08AF4E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8 372</w:t>
            </w:r>
          </w:p>
        </w:tc>
      </w:tr>
      <w:tr w:rsidR="00000000" w14:paraId="19356CD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FEAD3A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3EC71F9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1491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192</w:t>
            </w:r>
          </w:p>
        </w:tc>
        <w:tc>
          <w:tcPr>
            <w:tcW w:w="1645" w:type="dxa"/>
            <w:gridSpan w:val="2"/>
            <w:tcBorders>
              <w:top w:val="single" w:sz="6" w:space="0" w:color="auto"/>
              <w:left w:val="single" w:sz="6" w:space="0" w:color="auto"/>
              <w:bottom w:val="single" w:sz="6" w:space="0" w:color="auto"/>
            </w:tcBorders>
            <w:vAlign w:val="center"/>
          </w:tcPr>
          <w:p w14:paraId="481999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E7A29A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19CECC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6C33D6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B1ED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3F87A5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2841F3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F9DDC6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161CBC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7A26F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( 11 )</w:t>
            </w:r>
          </w:p>
        </w:tc>
        <w:tc>
          <w:tcPr>
            <w:tcW w:w="1645" w:type="dxa"/>
            <w:gridSpan w:val="2"/>
            <w:tcBorders>
              <w:top w:val="single" w:sz="6" w:space="0" w:color="auto"/>
              <w:left w:val="single" w:sz="6" w:space="0" w:color="auto"/>
              <w:bottom w:val="single" w:sz="6" w:space="0" w:color="auto"/>
            </w:tcBorders>
            <w:vAlign w:val="center"/>
          </w:tcPr>
          <w:p w14:paraId="5436B9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( 268 )</w:t>
            </w:r>
          </w:p>
        </w:tc>
      </w:tr>
      <w:tr w:rsidR="00000000" w14:paraId="2CB0D6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1AF08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22D7B0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A7A2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51FB6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399DD4D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726C40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453AAC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E5D1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9AD54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204B39C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6FB10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18A8608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8C98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2BE799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2479F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0F32E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Фінансовий результат до оподаткування:</w:t>
            </w:r>
          </w:p>
          <w:p w14:paraId="0C49D85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7FDE8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BD6E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2 053</w:t>
            </w:r>
          </w:p>
        </w:tc>
        <w:tc>
          <w:tcPr>
            <w:tcW w:w="1645" w:type="dxa"/>
            <w:gridSpan w:val="2"/>
            <w:tcBorders>
              <w:top w:val="single" w:sz="6" w:space="0" w:color="auto"/>
              <w:left w:val="single" w:sz="6" w:space="0" w:color="auto"/>
              <w:bottom w:val="single" w:sz="6" w:space="0" w:color="auto"/>
            </w:tcBorders>
            <w:vAlign w:val="center"/>
          </w:tcPr>
          <w:p w14:paraId="285224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3 378</w:t>
            </w:r>
          </w:p>
        </w:tc>
      </w:tr>
      <w:tr w:rsidR="00000000" w14:paraId="76D8B17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0C4037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3AC708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8F06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9F4291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0221A22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21C24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CBE13D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0AE5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-459</w:t>
            </w:r>
          </w:p>
        </w:tc>
        <w:tc>
          <w:tcPr>
            <w:tcW w:w="1645" w:type="dxa"/>
            <w:gridSpan w:val="2"/>
            <w:tcBorders>
              <w:top w:val="single" w:sz="6" w:space="0" w:color="auto"/>
              <w:left w:val="single" w:sz="6" w:space="0" w:color="auto"/>
              <w:bottom w:val="single" w:sz="6" w:space="0" w:color="auto"/>
            </w:tcBorders>
            <w:vAlign w:val="center"/>
          </w:tcPr>
          <w:p w14:paraId="3424C8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-697</w:t>
            </w:r>
          </w:p>
        </w:tc>
      </w:tr>
      <w:tr w:rsidR="00000000" w14:paraId="12763FE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F5660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FB466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BC11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7F4B9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049DA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D7E54D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фінансовий результат:</w:t>
            </w:r>
          </w:p>
          <w:p w14:paraId="5289805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00E5B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E5D1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1 594</w:t>
            </w:r>
          </w:p>
        </w:tc>
        <w:tc>
          <w:tcPr>
            <w:tcW w:w="1645" w:type="dxa"/>
            <w:gridSpan w:val="2"/>
            <w:tcBorders>
              <w:top w:val="single" w:sz="6" w:space="0" w:color="auto"/>
              <w:left w:val="single" w:sz="6" w:space="0" w:color="auto"/>
              <w:bottom w:val="single" w:sz="6" w:space="0" w:color="auto"/>
            </w:tcBorders>
            <w:vAlign w:val="center"/>
          </w:tcPr>
          <w:p w14:paraId="289DFE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2 681</w:t>
            </w:r>
          </w:p>
        </w:tc>
      </w:tr>
      <w:tr w:rsidR="00000000" w14:paraId="16A7C3E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C55617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328868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1DA34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A0ED90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bl>
    <w:p w14:paraId="3D12FB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14:paraId="63BBB6A4" w14:textId="77777777">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1C44C9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604A6C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B7EF3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606026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000000" w14:paraId="67761F9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35AAD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8BC5E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D8ECD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14:paraId="5A64C8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CC18FD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9A6429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3A555B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77B04D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19142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80D966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8B7C36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2CCF5A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29D92A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0B4242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08A8AD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C4F91E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639D5C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26FB37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0E8E9F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7671D6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DFDCFB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7D16AF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6A5FF29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DE9A4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FC1A0F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9E01EB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4605FB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6E9745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c>
          <w:tcPr>
            <w:tcW w:w="1645" w:type="dxa"/>
            <w:tcBorders>
              <w:top w:val="single" w:sz="6" w:space="0" w:color="auto"/>
              <w:left w:val="single" w:sz="6" w:space="0" w:color="auto"/>
              <w:bottom w:val="single" w:sz="6" w:space="0" w:color="auto"/>
            </w:tcBorders>
            <w:vAlign w:val="center"/>
          </w:tcPr>
          <w:p w14:paraId="3C4575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r>
      <w:tr w:rsidR="00000000" w14:paraId="0157E3D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248A8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87BCE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0A3C8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c>
          <w:tcPr>
            <w:tcW w:w="1645" w:type="dxa"/>
            <w:tcBorders>
              <w:top w:val="single" w:sz="6" w:space="0" w:color="auto"/>
              <w:left w:val="single" w:sz="6" w:space="0" w:color="auto"/>
              <w:bottom w:val="single" w:sz="6" w:space="0" w:color="auto"/>
            </w:tcBorders>
            <w:shd w:val="clear" w:color="auto" w:fill="E6E6E6"/>
            <w:vAlign w:val="center"/>
          </w:tcPr>
          <w:p w14:paraId="364B49B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r>
      <w:tr w:rsidR="00000000" w14:paraId="3288CC7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3CBD0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5CFDFC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16CCC2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( 115 )</w:t>
            </w:r>
          </w:p>
        </w:tc>
        <w:tc>
          <w:tcPr>
            <w:tcW w:w="1645" w:type="dxa"/>
            <w:tcBorders>
              <w:top w:val="single" w:sz="6" w:space="0" w:color="auto"/>
              <w:left w:val="single" w:sz="6" w:space="0" w:color="auto"/>
              <w:bottom w:val="single" w:sz="6" w:space="0" w:color="auto"/>
            </w:tcBorders>
            <w:vAlign w:val="center"/>
          </w:tcPr>
          <w:p w14:paraId="483BA0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( 115 )</w:t>
            </w:r>
          </w:p>
        </w:tc>
      </w:tr>
      <w:tr w:rsidR="00000000" w14:paraId="286185F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51941D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4FF56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29BE4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-359</w:t>
            </w:r>
          </w:p>
        </w:tc>
        <w:tc>
          <w:tcPr>
            <w:tcW w:w="1645" w:type="dxa"/>
            <w:tcBorders>
              <w:top w:val="single" w:sz="6" w:space="0" w:color="auto"/>
              <w:left w:val="single" w:sz="6" w:space="0" w:color="auto"/>
              <w:bottom w:val="single" w:sz="6" w:space="0" w:color="auto"/>
            </w:tcBorders>
            <w:shd w:val="clear" w:color="auto" w:fill="E6E6E6"/>
            <w:vAlign w:val="center"/>
          </w:tcPr>
          <w:p w14:paraId="31A1D47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-359</w:t>
            </w:r>
          </w:p>
        </w:tc>
      </w:tr>
      <w:tr w:rsidR="00000000" w14:paraId="1A00B05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05E562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E1C4A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E63B22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1 235</w:t>
            </w:r>
          </w:p>
        </w:tc>
        <w:tc>
          <w:tcPr>
            <w:tcW w:w="1645" w:type="dxa"/>
            <w:tcBorders>
              <w:top w:val="single" w:sz="6" w:space="0" w:color="auto"/>
              <w:left w:val="single" w:sz="6" w:space="0" w:color="auto"/>
              <w:bottom w:val="single" w:sz="6" w:space="0" w:color="auto"/>
            </w:tcBorders>
            <w:shd w:val="clear" w:color="auto" w:fill="E6E6E6"/>
            <w:vAlign w:val="center"/>
          </w:tcPr>
          <w:p w14:paraId="71B724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2 322</w:t>
            </w:r>
          </w:p>
        </w:tc>
      </w:tr>
    </w:tbl>
    <w:p w14:paraId="277928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14:paraId="6638DD7F" w14:textId="77777777">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6E00B5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C52558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DA89C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789AD0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000000" w14:paraId="31C540D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E963D4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4B8EA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519CA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14:paraId="5979D3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0F90E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7551B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1711805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1575AB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117</w:t>
            </w:r>
          </w:p>
        </w:tc>
        <w:tc>
          <w:tcPr>
            <w:tcW w:w="1645" w:type="dxa"/>
            <w:tcBorders>
              <w:top w:val="single" w:sz="6" w:space="0" w:color="auto"/>
              <w:left w:val="single" w:sz="6" w:space="0" w:color="auto"/>
              <w:bottom w:val="single" w:sz="6" w:space="0" w:color="auto"/>
            </w:tcBorders>
            <w:vAlign w:val="center"/>
          </w:tcPr>
          <w:p w14:paraId="5E36A23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75</w:t>
            </w:r>
          </w:p>
        </w:tc>
      </w:tr>
      <w:tr w:rsidR="00000000" w14:paraId="3C83407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DB35F1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055350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6840DD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1 400</w:t>
            </w:r>
          </w:p>
        </w:tc>
        <w:tc>
          <w:tcPr>
            <w:tcW w:w="1645" w:type="dxa"/>
            <w:tcBorders>
              <w:top w:val="single" w:sz="6" w:space="0" w:color="auto"/>
              <w:left w:val="single" w:sz="6" w:space="0" w:color="auto"/>
              <w:bottom w:val="single" w:sz="6" w:space="0" w:color="auto"/>
            </w:tcBorders>
            <w:vAlign w:val="center"/>
          </w:tcPr>
          <w:p w14:paraId="1B84462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2 196</w:t>
            </w:r>
          </w:p>
        </w:tc>
      </w:tr>
      <w:tr w:rsidR="00000000" w14:paraId="0EF570F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24E202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5A35489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492EDE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344</w:t>
            </w:r>
          </w:p>
        </w:tc>
        <w:tc>
          <w:tcPr>
            <w:tcW w:w="1645" w:type="dxa"/>
            <w:tcBorders>
              <w:top w:val="single" w:sz="6" w:space="0" w:color="auto"/>
              <w:left w:val="single" w:sz="6" w:space="0" w:color="auto"/>
              <w:bottom w:val="single" w:sz="6" w:space="0" w:color="auto"/>
            </w:tcBorders>
            <w:vAlign w:val="center"/>
          </w:tcPr>
          <w:p w14:paraId="2625B0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349</w:t>
            </w:r>
          </w:p>
        </w:tc>
      </w:tr>
      <w:tr w:rsidR="00000000" w14:paraId="2F5A9A3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8FABBB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45FF75F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745CE6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786</w:t>
            </w:r>
          </w:p>
        </w:tc>
        <w:tc>
          <w:tcPr>
            <w:tcW w:w="1645" w:type="dxa"/>
            <w:tcBorders>
              <w:top w:val="single" w:sz="6" w:space="0" w:color="auto"/>
              <w:left w:val="single" w:sz="6" w:space="0" w:color="auto"/>
              <w:bottom w:val="single" w:sz="6" w:space="0" w:color="auto"/>
            </w:tcBorders>
            <w:vAlign w:val="center"/>
          </w:tcPr>
          <w:p w14:paraId="2B1067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791</w:t>
            </w:r>
          </w:p>
        </w:tc>
      </w:tr>
      <w:tr w:rsidR="00000000" w14:paraId="54EE924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1DB806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1CDAE23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142615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833</w:t>
            </w:r>
          </w:p>
        </w:tc>
        <w:tc>
          <w:tcPr>
            <w:tcW w:w="1645" w:type="dxa"/>
            <w:tcBorders>
              <w:top w:val="single" w:sz="6" w:space="0" w:color="auto"/>
              <w:left w:val="single" w:sz="6" w:space="0" w:color="auto"/>
              <w:bottom w:val="single" w:sz="6" w:space="0" w:color="auto"/>
            </w:tcBorders>
            <w:vAlign w:val="center"/>
          </w:tcPr>
          <w:p w14:paraId="141A6D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880</w:t>
            </w:r>
          </w:p>
        </w:tc>
      </w:tr>
      <w:tr w:rsidR="00000000" w14:paraId="2B9234C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F6DFD5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99BD2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9DE12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3 480</w:t>
            </w:r>
          </w:p>
        </w:tc>
        <w:tc>
          <w:tcPr>
            <w:tcW w:w="1645" w:type="dxa"/>
            <w:tcBorders>
              <w:top w:val="single" w:sz="6" w:space="0" w:color="auto"/>
              <w:left w:val="single" w:sz="6" w:space="0" w:color="auto"/>
              <w:bottom w:val="single" w:sz="6" w:space="0" w:color="auto"/>
            </w:tcBorders>
            <w:shd w:val="clear" w:color="auto" w:fill="E6E6E6"/>
            <w:vAlign w:val="center"/>
          </w:tcPr>
          <w:p w14:paraId="27881B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4 291</w:t>
            </w:r>
          </w:p>
        </w:tc>
      </w:tr>
    </w:tbl>
    <w:p w14:paraId="230008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14:paraId="15A3E0F2" w14:textId="77777777">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535A49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9D35B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C6FB2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742049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000000" w14:paraId="17D0F10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AF974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EEA375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A59D46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14:paraId="43365E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2FC0171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5BBA8A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4B420C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3FDF971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FB3CC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921441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741915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29725A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2301FA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DFB9F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45898E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C3CFD9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7ADA6E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28C029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c>
          <w:tcPr>
            <w:tcW w:w="1645" w:type="dxa"/>
            <w:tcBorders>
              <w:top w:val="single" w:sz="6" w:space="0" w:color="auto"/>
              <w:left w:val="single" w:sz="6" w:space="0" w:color="auto"/>
              <w:bottom w:val="single" w:sz="6" w:space="0" w:color="auto"/>
            </w:tcBorders>
            <w:vAlign w:val="center"/>
          </w:tcPr>
          <w:p w14:paraId="6F0600C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r>
      <w:tr w:rsidR="00000000" w14:paraId="1190CC4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5EDA76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693C3F6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475977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c>
          <w:tcPr>
            <w:tcW w:w="1645" w:type="dxa"/>
            <w:tcBorders>
              <w:top w:val="single" w:sz="6" w:space="0" w:color="auto"/>
              <w:left w:val="single" w:sz="6" w:space="0" w:color="auto"/>
              <w:bottom w:val="single" w:sz="6" w:space="0" w:color="auto"/>
            </w:tcBorders>
            <w:vAlign w:val="center"/>
          </w:tcPr>
          <w:p w14:paraId="4E5AEF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r>
      <w:tr w:rsidR="00000000" w14:paraId="7E07D30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AF915A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40C1B1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61BA5D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w:t>
            </w:r>
          </w:p>
        </w:tc>
        <w:tc>
          <w:tcPr>
            <w:tcW w:w="1645" w:type="dxa"/>
            <w:tcBorders>
              <w:top w:val="single" w:sz="6" w:space="0" w:color="auto"/>
              <w:left w:val="single" w:sz="6" w:space="0" w:color="auto"/>
              <w:bottom w:val="single" w:sz="6" w:space="0" w:color="auto"/>
            </w:tcBorders>
            <w:vAlign w:val="center"/>
          </w:tcPr>
          <w:p w14:paraId="45A8F6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w:t>
            </w:r>
          </w:p>
        </w:tc>
      </w:tr>
    </w:tbl>
    <w:p w14:paraId="0D3839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4113B0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B6A42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268FE54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95B44E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3D6F65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000000" w14:paraId="2F510688" w14:textId="77777777">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7582A0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000000" w14:paraId="55A34747" w14:textId="77777777">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14:paraId="52746B58"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5746E3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31.01.2025</w:t>
            </w:r>
          </w:p>
        </w:tc>
      </w:tr>
      <w:tr w:rsidR="00000000" w14:paraId="6474944F" w14:textId="77777777">
        <w:tblPrEx>
          <w:tblCellMar>
            <w:top w:w="0" w:type="dxa"/>
            <w:bottom w:w="0" w:type="dxa"/>
          </w:tblCellMar>
        </w:tblPrEx>
        <w:tc>
          <w:tcPr>
            <w:tcW w:w="2160" w:type="dxa"/>
            <w:tcBorders>
              <w:top w:val="nil"/>
              <w:left w:val="nil"/>
              <w:bottom w:val="nil"/>
              <w:right w:val="nil"/>
            </w:tcBorders>
            <w:vAlign w:val="center"/>
          </w:tcPr>
          <w:p w14:paraId="73F24781"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90" w:type="dxa"/>
            <w:vMerge w:val="restart"/>
            <w:tcBorders>
              <w:top w:val="nil"/>
              <w:left w:val="nil"/>
              <w:bottom w:val="nil"/>
              <w:right w:val="nil"/>
            </w:tcBorders>
          </w:tcPr>
          <w:p w14:paraId="30AE227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990" w:type="dxa"/>
            <w:tcBorders>
              <w:top w:val="nil"/>
              <w:left w:val="nil"/>
              <w:bottom w:val="nil"/>
              <w:right w:val="single" w:sz="6" w:space="0" w:color="auto"/>
            </w:tcBorders>
            <w:vAlign w:val="center"/>
          </w:tcPr>
          <w:p w14:paraId="236CF9C9"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26B7639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bl>
    <w:p w14:paraId="676A8F9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7E1355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p w14:paraId="46B541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рух грошових коштів (за прямим методом)</w:t>
      </w:r>
    </w:p>
    <w:p w14:paraId="32A86B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2024 рік</w:t>
      </w:r>
    </w:p>
    <w:p w14:paraId="02366D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14:paraId="74FEF1C8" w14:textId="77777777">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14:paraId="7D0C5DC4"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000" w:type="dxa"/>
            <w:tcBorders>
              <w:top w:val="single" w:sz="6" w:space="0" w:color="auto"/>
              <w:left w:val="single" w:sz="6" w:space="0" w:color="auto"/>
              <w:bottom w:val="single" w:sz="6" w:space="0" w:color="auto"/>
            </w:tcBorders>
          </w:tcPr>
          <w:p w14:paraId="5E7621E3"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1801004</w:t>
            </w:r>
          </w:p>
        </w:tc>
      </w:tr>
      <w:tr w:rsidR="00000000" w14:paraId="0F4B0BA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738E6A35"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p>
          <w:p w14:paraId="398D6A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013A30C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306DD1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0013B6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000000" w14:paraId="26D00B1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4D0A7B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26201A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38B569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22AECB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5463578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647675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 Рух коштів у результаті операційної діяльності</w:t>
            </w:r>
          </w:p>
          <w:p w14:paraId="4C53A46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3FD8028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CE5C47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75AEF7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55D326A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2149F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21FF2A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ACF4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C1A3E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D698EE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07F4CE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4EB631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95F7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A5080C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01A91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59B7B9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68E079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A093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94AB4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14695C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4BF935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34846A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EB92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6568C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A19342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BEDA83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175B68E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D32F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8BF9D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F23863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3F3A85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258D22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8220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518AF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510BFE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0E11D5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072F43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4D09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566D54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11CDE15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E9F338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0C895C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BDB1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45451A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9D5D4C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24AA6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24EB7C3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096F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9FBBED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F84BA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B502AC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3D85403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FDAC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DC3935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5C4C70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A7AC70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4331C8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EAC3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44A69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809B0B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914EFD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034245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7222E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107</w:t>
            </w:r>
          </w:p>
        </w:tc>
        <w:tc>
          <w:tcPr>
            <w:tcW w:w="1645" w:type="dxa"/>
            <w:gridSpan w:val="2"/>
            <w:tcBorders>
              <w:top w:val="single" w:sz="6" w:space="0" w:color="auto"/>
              <w:left w:val="single" w:sz="6" w:space="0" w:color="auto"/>
              <w:bottom w:val="single" w:sz="6" w:space="0" w:color="auto"/>
            </w:tcBorders>
            <w:vAlign w:val="center"/>
          </w:tcPr>
          <w:p w14:paraId="55B125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367</w:t>
            </w:r>
          </w:p>
        </w:tc>
      </w:tr>
      <w:tr w:rsidR="00000000" w14:paraId="54BA121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6CC793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1D527F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100B9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3D45B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281BC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1547AF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20FE5B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FF9A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435</w:t>
            </w:r>
          </w:p>
        </w:tc>
        <w:tc>
          <w:tcPr>
            <w:tcW w:w="1645" w:type="dxa"/>
            <w:gridSpan w:val="2"/>
            <w:tcBorders>
              <w:top w:val="single" w:sz="6" w:space="0" w:color="auto"/>
              <w:left w:val="single" w:sz="6" w:space="0" w:color="auto"/>
              <w:bottom w:val="single" w:sz="6" w:space="0" w:color="auto"/>
            </w:tcBorders>
            <w:vAlign w:val="center"/>
          </w:tcPr>
          <w:p w14:paraId="60CFE2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021949C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7BE69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5EDA77C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E32E29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012BA3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2B782B9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F30777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2164E91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4EC7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( 926 )</w:t>
            </w:r>
          </w:p>
        </w:tc>
        <w:tc>
          <w:tcPr>
            <w:tcW w:w="1645" w:type="dxa"/>
            <w:gridSpan w:val="2"/>
            <w:tcBorders>
              <w:top w:val="single" w:sz="6" w:space="0" w:color="auto"/>
              <w:left w:val="single" w:sz="6" w:space="0" w:color="auto"/>
              <w:bottom w:val="single" w:sz="6" w:space="0" w:color="auto"/>
            </w:tcBorders>
            <w:vAlign w:val="center"/>
          </w:tcPr>
          <w:p w14:paraId="6436F59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( 912 )</w:t>
            </w:r>
          </w:p>
        </w:tc>
      </w:tr>
      <w:tr w:rsidR="00000000" w14:paraId="08B3CDD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C2D579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3285E8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35CD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( 1 637 )</w:t>
            </w:r>
          </w:p>
        </w:tc>
        <w:tc>
          <w:tcPr>
            <w:tcW w:w="1645" w:type="dxa"/>
            <w:gridSpan w:val="2"/>
            <w:tcBorders>
              <w:top w:val="single" w:sz="6" w:space="0" w:color="auto"/>
              <w:left w:val="single" w:sz="6" w:space="0" w:color="auto"/>
              <w:bottom w:val="single" w:sz="6" w:space="0" w:color="auto"/>
            </w:tcBorders>
            <w:vAlign w:val="center"/>
          </w:tcPr>
          <w:p w14:paraId="691293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( 1 225 )</w:t>
            </w:r>
          </w:p>
        </w:tc>
      </w:tr>
      <w:tr w:rsidR="00000000" w14:paraId="7B03BB2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4EB578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03892A3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25299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( 362 )</w:t>
            </w:r>
          </w:p>
        </w:tc>
        <w:tc>
          <w:tcPr>
            <w:tcW w:w="1645" w:type="dxa"/>
            <w:gridSpan w:val="2"/>
            <w:tcBorders>
              <w:top w:val="single" w:sz="6" w:space="0" w:color="auto"/>
              <w:left w:val="single" w:sz="6" w:space="0" w:color="auto"/>
              <w:bottom w:val="single" w:sz="6" w:space="0" w:color="auto"/>
            </w:tcBorders>
            <w:vAlign w:val="center"/>
          </w:tcPr>
          <w:p w14:paraId="6CB8723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( 348 )</w:t>
            </w:r>
          </w:p>
        </w:tc>
      </w:tr>
      <w:tr w:rsidR="00000000" w14:paraId="65367EB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9304A3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2C9B37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AB4E6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( 1 889 )</w:t>
            </w:r>
          </w:p>
        </w:tc>
        <w:tc>
          <w:tcPr>
            <w:tcW w:w="1645" w:type="dxa"/>
            <w:gridSpan w:val="2"/>
            <w:tcBorders>
              <w:top w:val="single" w:sz="6" w:space="0" w:color="auto"/>
              <w:left w:val="single" w:sz="6" w:space="0" w:color="auto"/>
              <w:bottom w:val="single" w:sz="6" w:space="0" w:color="auto"/>
            </w:tcBorders>
            <w:vAlign w:val="center"/>
          </w:tcPr>
          <w:p w14:paraId="1BECC46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( 837 )</w:t>
            </w:r>
          </w:p>
        </w:tc>
      </w:tr>
      <w:tr w:rsidR="00000000" w14:paraId="019D91E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6A875F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7C281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DFFD1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( 701 )</w:t>
            </w:r>
          </w:p>
        </w:tc>
        <w:tc>
          <w:tcPr>
            <w:tcW w:w="1645" w:type="dxa"/>
            <w:gridSpan w:val="2"/>
            <w:tcBorders>
              <w:top w:val="single" w:sz="6" w:space="0" w:color="auto"/>
              <w:left w:val="single" w:sz="6" w:space="0" w:color="auto"/>
              <w:bottom w:val="single" w:sz="6" w:space="0" w:color="auto"/>
            </w:tcBorders>
            <w:vAlign w:val="center"/>
          </w:tcPr>
          <w:p w14:paraId="1AFD47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( 110 )</w:t>
            </w:r>
          </w:p>
        </w:tc>
      </w:tr>
      <w:tr w:rsidR="00000000" w14:paraId="0C592D3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4F4170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732336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DCF7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40049F1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78C2542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427B53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125F3D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D26D8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( 1 188 )</w:t>
            </w:r>
          </w:p>
        </w:tc>
        <w:tc>
          <w:tcPr>
            <w:tcW w:w="1645" w:type="dxa"/>
            <w:gridSpan w:val="2"/>
            <w:tcBorders>
              <w:top w:val="single" w:sz="6" w:space="0" w:color="auto"/>
              <w:left w:val="single" w:sz="6" w:space="0" w:color="auto"/>
              <w:bottom w:val="single" w:sz="6" w:space="0" w:color="auto"/>
            </w:tcBorders>
            <w:vAlign w:val="center"/>
          </w:tcPr>
          <w:p w14:paraId="25C103F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( 727 )</w:t>
            </w:r>
          </w:p>
        </w:tc>
      </w:tr>
      <w:tr w:rsidR="00000000" w14:paraId="4A10B53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22431B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51932A2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C494E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3192068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054053C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E03FE5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7A40BB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55AAB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183B8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550C2C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FDBD68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7FC211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1E6E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17089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40CD924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64D9B7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4A522D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A8585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( 5 719 )</w:t>
            </w:r>
          </w:p>
        </w:tc>
        <w:tc>
          <w:tcPr>
            <w:tcW w:w="1645" w:type="dxa"/>
            <w:gridSpan w:val="2"/>
            <w:tcBorders>
              <w:top w:val="single" w:sz="6" w:space="0" w:color="auto"/>
              <w:left w:val="single" w:sz="6" w:space="0" w:color="auto"/>
              <w:bottom w:val="single" w:sz="6" w:space="0" w:color="auto"/>
            </w:tcBorders>
            <w:vAlign w:val="center"/>
          </w:tcPr>
          <w:p w14:paraId="4E5227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( 15 454 )</w:t>
            </w:r>
          </w:p>
        </w:tc>
      </w:tr>
      <w:tr w:rsidR="00000000" w14:paraId="19F0F3C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97281F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8F0D3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EC99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44D427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E174F1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BC4AC6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5316AB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AF13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296CBD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38E9B9F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F434BC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23BFEB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C74D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-9 991</w:t>
            </w:r>
          </w:p>
        </w:tc>
        <w:tc>
          <w:tcPr>
            <w:tcW w:w="1645" w:type="dxa"/>
            <w:gridSpan w:val="2"/>
            <w:tcBorders>
              <w:top w:val="single" w:sz="6" w:space="0" w:color="auto"/>
              <w:left w:val="single" w:sz="6" w:space="0" w:color="auto"/>
              <w:bottom w:val="single" w:sz="6" w:space="0" w:color="auto"/>
            </w:tcBorders>
            <w:vAlign w:val="center"/>
          </w:tcPr>
          <w:p w14:paraId="3D0661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-18 393</w:t>
            </w:r>
          </w:p>
        </w:tc>
      </w:tr>
      <w:tr w:rsidR="00000000" w14:paraId="676FC90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98F31A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 Рух коштів у результаті інвестиційної діяльності</w:t>
            </w:r>
          </w:p>
          <w:p w14:paraId="057000F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34E12F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DF127B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678EAC2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2EE9C24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68028D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3DAAF63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B4E52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49 009</w:t>
            </w:r>
          </w:p>
        </w:tc>
        <w:tc>
          <w:tcPr>
            <w:tcW w:w="1645" w:type="dxa"/>
            <w:gridSpan w:val="2"/>
            <w:tcBorders>
              <w:top w:val="single" w:sz="6" w:space="0" w:color="auto"/>
              <w:left w:val="single" w:sz="6" w:space="0" w:color="auto"/>
              <w:bottom w:val="single" w:sz="6" w:space="0" w:color="auto"/>
            </w:tcBorders>
            <w:vAlign w:val="center"/>
          </w:tcPr>
          <w:p w14:paraId="50C84AC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71 600</w:t>
            </w:r>
          </w:p>
        </w:tc>
      </w:tr>
      <w:tr w:rsidR="00000000" w14:paraId="6317697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8CF260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1DF223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479F6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FBA8F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129F35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434D50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49DCC0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CF55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1103FDB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5FF4AF3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168DC2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4ED2503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5CCAA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4 360</w:t>
            </w:r>
          </w:p>
        </w:tc>
        <w:tc>
          <w:tcPr>
            <w:tcW w:w="1645" w:type="dxa"/>
            <w:gridSpan w:val="2"/>
            <w:tcBorders>
              <w:top w:val="single" w:sz="6" w:space="0" w:color="auto"/>
              <w:left w:val="single" w:sz="6" w:space="0" w:color="auto"/>
              <w:bottom w:val="single" w:sz="6" w:space="0" w:color="auto"/>
            </w:tcBorders>
            <w:vAlign w:val="center"/>
          </w:tcPr>
          <w:p w14:paraId="03D6BBF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8 496</w:t>
            </w:r>
          </w:p>
        </w:tc>
      </w:tr>
      <w:tr w:rsidR="00000000" w14:paraId="623E547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8F3BB2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4960D5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F946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00B72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286D15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C3A565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350EC8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235E1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EDE55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73DA3A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91982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2A85D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29F4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4929A7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0FCB11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BBE2E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7CFCC2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C59C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31969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D28B8D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922B47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037235C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F854F5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84153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66BF90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E47A23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4D27D65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570C9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028AEB2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51F1B80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73D74C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2BB61B7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4758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( 11 700 )</w:t>
            </w:r>
          </w:p>
        </w:tc>
        <w:tc>
          <w:tcPr>
            <w:tcW w:w="1645" w:type="dxa"/>
            <w:gridSpan w:val="2"/>
            <w:tcBorders>
              <w:top w:val="single" w:sz="6" w:space="0" w:color="auto"/>
              <w:left w:val="single" w:sz="6" w:space="0" w:color="auto"/>
              <w:bottom w:val="single" w:sz="6" w:space="0" w:color="auto"/>
            </w:tcBorders>
            <w:vAlign w:val="center"/>
          </w:tcPr>
          <w:p w14:paraId="4009C5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( 63 400 )</w:t>
            </w:r>
          </w:p>
        </w:tc>
      </w:tr>
      <w:tr w:rsidR="00000000" w14:paraId="71837C9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12E664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2C17457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D056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3A9E99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5E99C02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C50DF1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258A5A0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ACA9F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46023A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4882A86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B6C65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1871D8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886AB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673EE1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433855E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7823C8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3A59A0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6585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0BE651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390D7A5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343799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2E9D9D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A7A8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E038B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3CF2C17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51C08F7"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2F90DB0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2E5E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41 669</w:t>
            </w:r>
          </w:p>
        </w:tc>
        <w:tc>
          <w:tcPr>
            <w:tcW w:w="1645" w:type="dxa"/>
            <w:gridSpan w:val="2"/>
            <w:tcBorders>
              <w:top w:val="single" w:sz="6" w:space="0" w:color="auto"/>
              <w:left w:val="single" w:sz="6" w:space="0" w:color="auto"/>
              <w:bottom w:val="single" w:sz="6" w:space="0" w:color="auto"/>
            </w:tcBorders>
            <w:vAlign w:val="center"/>
          </w:tcPr>
          <w:p w14:paraId="04F4C33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16 696</w:t>
            </w:r>
          </w:p>
        </w:tc>
      </w:tr>
      <w:tr w:rsidR="00000000" w14:paraId="07BB36C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7F3F46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III. Рух коштів у результаті фінансової діяльності</w:t>
            </w:r>
          </w:p>
          <w:p w14:paraId="74F4D46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6F859F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4BA07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1457CF5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21B8248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430F37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54F801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6448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72DC3A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8C6953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05E2BB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7C072D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0338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F8E7F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434E09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557B4A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00BB2C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9AF1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E1D46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ADB7AC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B9907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78D2E23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3D82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BC7CB9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C6BFCE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101692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0E2CB12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93E0E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3B28EF2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5B11BA2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5D1A07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160646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CBA9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521C1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0C1A087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21F9C9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1C6798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3157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3DEB6F4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4833D39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DC44E4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4EFB83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DDCA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4B53EB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5FD7AED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7490AE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1834A2A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50ACD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004B6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5C41F1D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05B6B3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7E2DC3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CB886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E0B22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BD7C6D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8E71B1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05065F3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7F035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3AF017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58F77C8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FF3D7B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58A71E2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3DCC5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43D4E23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67CCBE1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970F60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6D9B19B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379ED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( 12 057 )</w:t>
            </w:r>
          </w:p>
        </w:tc>
        <w:tc>
          <w:tcPr>
            <w:tcW w:w="1645" w:type="dxa"/>
            <w:gridSpan w:val="2"/>
            <w:tcBorders>
              <w:top w:val="single" w:sz="6" w:space="0" w:color="auto"/>
              <w:left w:val="single" w:sz="6" w:space="0" w:color="auto"/>
              <w:bottom w:val="single" w:sz="6" w:space="0" w:color="auto"/>
            </w:tcBorders>
            <w:vAlign w:val="center"/>
          </w:tcPr>
          <w:p w14:paraId="5AD63C1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000000" w14:paraId="1F75B62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4A5298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3F3640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44658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-12 057</w:t>
            </w:r>
          </w:p>
        </w:tc>
        <w:tc>
          <w:tcPr>
            <w:tcW w:w="1645" w:type="dxa"/>
            <w:gridSpan w:val="2"/>
            <w:tcBorders>
              <w:top w:val="single" w:sz="6" w:space="0" w:color="auto"/>
              <w:left w:val="single" w:sz="6" w:space="0" w:color="auto"/>
              <w:bottom w:val="single" w:sz="6" w:space="0" w:color="auto"/>
            </w:tcBorders>
            <w:vAlign w:val="center"/>
          </w:tcPr>
          <w:p w14:paraId="1DF6C8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F86E93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1D9DB1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1DB71B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9D904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19 621</w:t>
            </w:r>
          </w:p>
        </w:tc>
        <w:tc>
          <w:tcPr>
            <w:tcW w:w="1645" w:type="dxa"/>
            <w:gridSpan w:val="2"/>
            <w:tcBorders>
              <w:top w:val="single" w:sz="6" w:space="0" w:color="auto"/>
              <w:left w:val="single" w:sz="6" w:space="0" w:color="auto"/>
              <w:bottom w:val="single" w:sz="6" w:space="0" w:color="auto"/>
            </w:tcBorders>
            <w:vAlign w:val="center"/>
          </w:tcPr>
          <w:p w14:paraId="7BB450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-1 697</w:t>
            </w:r>
          </w:p>
        </w:tc>
      </w:tr>
      <w:tr w:rsidR="00000000" w14:paraId="2EC66A2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5AEA99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Зали</w:t>
            </w:r>
            <w:r>
              <w:rPr>
                <w:rFonts w:ascii="Times New Roman CYR" w:hAnsi="Times New Roman CYR" w:cs="Times New Roman CYR"/>
                <w:kern w:val="0"/>
                <w:sz w:val="22"/>
                <w:szCs w:val="22"/>
              </w:rPr>
              <w:t>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18ACFD4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7DEE4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1 732</w:t>
            </w:r>
          </w:p>
        </w:tc>
        <w:tc>
          <w:tcPr>
            <w:tcW w:w="1645" w:type="dxa"/>
            <w:gridSpan w:val="2"/>
            <w:tcBorders>
              <w:top w:val="single" w:sz="6" w:space="0" w:color="auto"/>
              <w:left w:val="single" w:sz="6" w:space="0" w:color="auto"/>
              <w:bottom w:val="single" w:sz="6" w:space="0" w:color="auto"/>
            </w:tcBorders>
            <w:vAlign w:val="center"/>
          </w:tcPr>
          <w:p w14:paraId="5D29FC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3 420</w:t>
            </w:r>
          </w:p>
        </w:tc>
      </w:tr>
      <w:tr w:rsidR="00000000" w14:paraId="39BA358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CE3DBC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1C7300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F3FD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645" w:type="dxa"/>
            <w:gridSpan w:val="2"/>
            <w:tcBorders>
              <w:top w:val="single" w:sz="6" w:space="0" w:color="auto"/>
              <w:left w:val="single" w:sz="6" w:space="0" w:color="auto"/>
              <w:bottom w:val="single" w:sz="6" w:space="0" w:color="auto"/>
            </w:tcBorders>
            <w:vAlign w:val="center"/>
          </w:tcPr>
          <w:p w14:paraId="655645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r>
      <w:tr w:rsidR="00000000" w14:paraId="21C98C6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7A3D56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233DCE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2A72D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c>
          <w:tcPr>
            <w:tcW w:w="1645" w:type="dxa"/>
            <w:gridSpan w:val="2"/>
            <w:tcBorders>
              <w:top w:val="single" w:sz="6" w:space="0" w:color="auto"/>
              <w:left w:val="single" w:sz="6" w:space="0" w:color="auto"/>
              <w:bottom w:val="single" w:sz="6" w:space="0" w:color="auto"/>
            </w:tcBorders>
            <w:vAlign w:val="center"/>
          </w:tcPr>
          <w:p w14:paraId="18842D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1 732</w:t>
            </w:r>
          </w:p>
        </w:tc>
      </w:tr>
    </w:tbl>
    <w:p w14:paraId="4C1B36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4B0DC2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9E883D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181600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F15A0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1BC2C5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000000" w14:paraId="67C7DEA8" w14:textId="77777777">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1A0C5F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000000" w14:paraId="0A193581" w14:textId="77777777">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14:paraId="79B5C6A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4D928C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01.01.2025</w:t>
            </w:r>
          </w:p>
        </w:tc>
      </w:tr>
      <w:tr w:rsidR="00000000" w14:paraId="7A8D100E" w14:textId="77777777">
        <w:tblPrEx>
          <w:tblCellMar>
            <w:top w:w="0" w:type="dxa"/>
            <w:bottom w:w="0" w:type="dxa"/>
          </w:tblCellMar>
        </w:tblPrEx>
        <w:tc>
          <w:tcPr>
            <w:tcW w:w="2240" w:type="dxa"/>
            <w:tcBorders>
              <w:top w:val="nil"/>
              <w:left w:val="nil"/>
              <w:bottom w:val="nil"/>
              <w:right w:val="nil"/>
            </w:tcBorders>
            <w:vAlign w:val="center"/>
          </w:tcPr>
          <w:p w14:paraId="0426597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5500" w:type="dxa"/>
            <w:vMerge w:val="restart"/>
            <w:tcBorders>
              <w:top w:val="nil"/>
              <w:left w:val="nil"/>
              <w:bottom w:val="nil"/>
              <w:right w:val="nil"/>
            </w:tcBorders>
          </w:tcPr>
          <w:p w14:paraId="4E42647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800" w:type="dxa"/>
            <w:tcBorders>
              <w:top w:val="nil"/>
              <w:left w:val="nil"/>
              <w:bottom w:val="nil"/>
              <w:right w:val="single" w:sz="6" w:space="0" w:color="auto"/>
            </w:tcBorders>
            <w:vAlign w:val="center"/>
          </w:tcPr>
          <w:p w14:paraId="64154BAC"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2004FD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bl>
    <w:p w14:paraId="10ADEF7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7BC743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власний капітал</w:t>
      </w:r>
    </w:p>
    <w:p w14:paraId="266324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2024 рік</w:t>
      </w:r>
    </w:p>
    <w:p w14:paraId="448AB4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000000" w14:paraId="7AD8C00A" w14:textId="77777777">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14:paraId="183DD693"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300" w:type="dxa"/>
            <w:gridSpan w:val="2"/>
            <w:tcBorders>
              <w:top w:val="single" w:sz="6" w:space="0" w:color="auto"/>
              <w:left w:val="single" w:sz="6" w:space="0" w:color="auto"/>
              <w:bottom w:val="single" w:sz="6" w:space="0" w:color="auto"/>
            </w:tcBorders>
            <w:vAlign w:val="center"/>
          </w:tcPr>
          <w:p w14:paraId="175D8C36" w14:textId="77777777" w:rsidR="00DA0975" w:rsidRDefault="00DA0975">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1801005</w:t>
            </w:r>
          </w:p>
        </w:tc>
      </w:tr>
      <w:tr w:rsidR="00000000" w14:paraId="798214F1" w14:textId="77777777">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14:paraId="684C4A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51CC34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14:paraId="220272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14:paraId="52EDF1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0D459E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14:paraId="42D5A46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19107C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88BC55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51ED2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14:paraId="5A8348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Всього</w:t>
            </w:r>
          </w:p>
        </w:tc>
      </w:tr>
      <w:tr w:rsidR="00000000" w14:paraId="41B48463"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14:paraId="0E6A60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14:paraId="220CBC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14:paraId="5DAEDFC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14:paraId="18CCF36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09A34D4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14:paraId="58D95F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262C24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14:paraId="068E0C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14:paraId="128132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250" w:type="dxa"/>
            <w:tcBorders>
              <w:top w:val="single" w:sz="6" w:space="0" w:color="auto"/>
              <w:left w:val="single" w:sz="6" w:space="0" w:color="auto"/>
              <w:bottom w:val="single" w:sz="6" w:space="0" w:color="auto"/>
            </w:tcBorders>
            <w:shd w:val="clear" w:color="auto" w:fill="E6E6E6"/>
          </w:tcPr>
          <w:p w14:paraId="017D5F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000000" w14:paraId="7A236892"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45479DD0"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677DFD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4000</w:t>
            </w:r>
          </w:p>
        </w:tc>
        <w:tc>
          <w:tcPr>
            <w:tcW w:w="1100" w:type="dxa"/>
            <w:tcBorders>
              <w:top w:val="single" w:sz="6" w:space="0" w:color="auto"/>
              <w:left w:val="single" w:sz="6" w:space="0" w:color="auto"/>
              <w:bottom w:val="single" w:sz="6" w:space="0" w:color="auto"/>
              <w:right w:val="single" w:sz="6" w:space="0" w:color="auto"/>
            </w:tcBorders>
          </w:tcPr>
          <w:p w14:paraId="676BF4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350" w:type="dxa"/>
            <w:tcBorders>
              <w:top w:val="single" w:sz="6" w:space="0" w:color="auto"/>
              <w:left w:val="single" w:sz="6" w:space="0" w:color="auto"/>
              <w:bottom w:val="single" w:sz="6" w:space="0" w:color="auto"/>
              <w:right w:val="single" w:sz="6" w:space="0" w:color="auto"/>
            </w:tcBorders>
          </w:tcPr>
          <w:p w14:paraId="339297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16 330</w:t>
            </w:r>
          </w:p>
        </w:tc>
        <w:tc>
          <w:tcPr>
            <w:tcW w:w="1300" w:type="dxa"/>
            <w:tcBorders>
              <w:top w:val="single" w:sz="6" w:space="0" w:color="auto"/>
              <w:left w:val="single" w:sz="6" w:space="0" w:color="auto"/>
              <w:bottom w:val="single" w:sz="6" w:space="0" w:color="auto"/>
              <w:right w:val="single" w:sz="6" w:space="0" w:color="auto"/>
            </w:tcBorders>
          </w:tcPr>
          <w:p w14:paraId="19D18D6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12 000</w:t>
            </w:r>
          </w:p>
        </w:tc>
        <w:tc>
          <w:tcPr>
            <w:tcW w:w="1200" w:type="dxa"/>
            <w:tcBorders>
              <w:top w:val="single" w:sz="6" w:space="0" w:color="auto"/>
              <w:left w:val="single" w:sz="6" w:space="0" w:color="auto"/>
              <w:bottom w:val="single" w:sz="6" w:space="0" w:color="auto"/>
              <w:right w:val="single" w:sz="6" w:space="0" w:color="auto"/>
            </w:tcBorders>
          </w:tcPr>
          <w:p w14:paraId="1729B1A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575</w:t>
            </w:r>
          </w:p>
        </w:tc>
        <w:tc>
          <w:tcPr>
            <w:tcW w:w="1300" w:type="dxa"/>
            <w:tcBorders>
              <w:top w:val="single" w:sz="6" w:space="0" w:color="auto"/>
              <w:left w:val="single" w:sz="6" w:space="0" w:color="auto"/>
              <w:bottom w:val="single" w:sz="6" w:space="0" w:color="auto"/>
              <w:right w:val="single" w:sz="6" w:space="0" w:color="auto"/>
            </w:tcBorders>
          </w:tcPr>
          <w:p w14:paraId="359157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5 221</w:t>
            </w:r>
          </w:p>
        </w:tc>
        <w:tc>
          <w:tcPr>
            <w:tcW w:w="1500" w:type="dxa"/>
            <w:gridSpan w:val="2"/>
            <w:tcBorders>
              <w:top w:val="single" w:sz="6" w:space="0" w:color="auto"/>
              <w:left w:val="single" w:sz="6" w:space="0" w:color="auto"/>
              <w:bottom w:val="single" w:sz="6" w:space="0" w:color="auto"/>
              <w:right w:val="single" w:sz="6" w:space="0" w:color="auto"/>
            </w:tcBorders>
          </w:tcPr>
          <w:p w14:paraId="23DDFD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64322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288B114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55 126</w:t>
            </w:r>
          </w:p>
        </w:tc>
      </w:tr>
      <w:tr w:rsidR="00000000" w14:paraId="6B5D2533"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3B6FB2A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Коригування:</w:t>
            </w:r>
          </w:p>
          <w:p w14:paraId="4726B0F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326032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4005</w:t>
            </w:r>
          </w:p>
        </w:tc>
        <w:tc>
          <w:tcPr>
            <w:tcW w:w="1100" w:type="dxa"/>
            <w:tcBorders>
              <w:top w:val="single" w:sz="6" w:space="0" w:color="auto"/>
              <w:left w:val="single" w:sz="6" w:space="0" w:color="auto"/>
              <w:bottom w:val="single" w:sz="6" w:space="0" w:color="auto"/>
              <w:right w:val="single" w:sz="6" w:space="0" w:color="auto"/>
            </w:tcBorders>
          </w:tcPr>
          <w:p w14:paraId="2F83DD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0CBBD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31EF0F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50FC5B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921ED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5ADB5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422A1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FA801E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76AC994"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6F68F72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28DEAD7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4010</w:t>
            </w:r>
          </w:p>
        </w:tc>
        <w:tc>
          <w:tcPr>
            <w:tcW w:w="1100" w:type="dxa"/>
            <w:tcBorders>
              <w:top w:val="single" w:sz="6" w:space="0" w:color="auto"/>
              <w:left w:val="single" w:sz="6" w:space="0" w:color="auto"/>
              <w:bottom w:val="single" w:sz="6" w:space="0" w:color="auto"/>
              <w:right w:val="single" w:sz="6" w:space="0" w:color="auto"/>
            </w:tcBorders>
          </w:tcPr>
          <w:p w14:paraId="01B0C84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5FF37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AF8C4E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4A703E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64C6B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CB4119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31494D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79EF0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01AEB87"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56C423D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3D9F7F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4090</w:t>
            </w:r>
          </w:p>
        </w:tc>
        <w:tc>
          <w:tcPr>
            <w:tcW w:w="1100" w:type="dxa"/>
            <w:tcBorders>
              <w:top w:val="single" w:sz="6" w:space="0" w:color="auto"/>
              <w:left w:val="single" w:sz="6" w:space="0" w:color="auto"/>
              <w:bottom w:val="single" w:sz="6" w:space="0" w:color="auto"/>
              <w:right w:val="single" w:sz="6" w:space="0" w:color="auto"/>
            </w:tcBorders>
          </w:tcPr>
          <w:p w14:paraId="2AFCFB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64B1B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A6612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8ED50D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34426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7879316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C6A6C2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9C405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0DE378B"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53CA9C0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1ED1318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4095</w:t>
            </w:r>
          </w:p>
        </w:tc>
        <w:tc>
          <w:tcPr>
            <w:tcW w:w="1100" w:type="dxa"/>
            <w:tcBorders>
              <w:top w:val="single" w:sz="6" w:space="0" w:color="auto"/>
              <w:left w:val="single" w:sz="6" w:space="0" w:color="auto"/>
              <w:bottom w:val="single" w:sz="6" w:space="0" w:color="auto"/>
              <w:right w:val="single" w:sz="6" w:space="0" w:color="auto"/>
            </w:tcBorders>
          </w:tcPr>
          <w:p w14:paraId="5A65F8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350" w:type="dxa"/>
            <w:tcBorders>
              <w:top w:val="single" w:sz="6" w:space="0" w:color="auto"/>
              <w:left w:val="single" w:sz="6" w:space="0" w:color="auto"/>
              <w:bottom w:val="single" w:sz="6" w:space="0" w:color="auto"/>
              <w:right w:val="single" w:sz="6" w:space="0" w:color="auto"/>
            </w:tcBorders>
          </w:tcPr>
          <w:p w14:paraId="14FE65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16 330</w:t>
            </w:r>
          </w:p>
        </w:tc>
        <w:tc>
          <w:tcPr>
            <w:tcW w:w="1300" w:type="dxa"/>
            <w:tcBorders>
              <w:top w:val="single" w:sz="6" w:space="0" w:color="auto"/>
              <w:left w:val="single" w:sz="6" w:space="0" w:color="auto"/>
              <w:bottom w:val="single" w:sz="6" w:space="0" w:color="auto"/>
              <w:right w:val="single" w:sz="6" w:space="0" w:color="auto"/>
            </w:tcBorders>
          </w:tcPr>
          <w:p w14:paraId="7E8C16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12 000</w:t>
            </w:r>
          </w:p>
        </w:tc>
        <w:tc>
          <w:tcPr>
            <w:tcW w:w="1200" w:type="dxa"/>
            <w:tcBorders>
              <w:top w:val="single" w:sz="6" w:space="0" w:color="auto"/>
              <w:left w:val="single" w:sz="6" w:space="0" w:color="auto"/>
              <w:bottom w:val="single" w:sz="6" w:space="0" w:color="auto"/>
              <w:right w:val="single" w:sz="6" w:space="0" w:color="auto"/>
            </w:tcBorders>
          </w:tcPr>
          <w:p w14:paraId="5F3C227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575</w:t>
            </w:r>
          </w:p>
        </w:tc>
        <w:tc>
          <w:tcPr>
            <w:tcW w:w="1300" w:type="dxa"/>
            <w:tcBorders>
              <w:top w:val="single" w:sz="6" w:space="0" w:color="auto"/>
              <w:left w:val="single" w:sz="6" w:space="0" w:color="auto"/>
              <w:bottom w:val="single" w:sz="6" w:space="0" w:color="auto"/>
              <w:right w:val="single" w:sz="6" w:space="0" w:color="auto"/>
            </w:tcBorders>
          </w:tcPr>
          <w:p w14:paraId="21028F1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5 221</w:t>
            </w:r>
          </w:p>
        </w:tc>
        <w:tc>
          <w:tcPr>
            <w:tcW w:w="1500" w:type="dxa"/>
            <w:gridSpan w:val="2"/>
            <w:tcBorders>
              <w:top w:val="single" w:sz="6" w:space="0" w:color="auto"/>
              <w:left w:val="single" w:sz="6" w:space="0" w:color="auto"/>
              <w:bottom w:val="single" w:sz="6" w:space="0" w:color="auto"/>
              <w:right w:val="single" w:sz="6" w:space="0" w:color="auto"/>
            </w:tcBorders>
          </w:tcPr>
          <w:p w14:paraId="7A381BC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58D900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2DA6EE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55 126</w:t>
            </w:r>
          </w:p>
        </w:tc>
      </w:tr>
      <w:tr w:rsidR="00000000" w14:paraId="09690C4D"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680580D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362DDF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4100</w:t>
            </w:r>
          </w:p>
        </w:tc>
        <w:tc>
          <w:tcPr>
            <w:tcW w:w="1100" w:type="dxa"/>
            <w:tcBorders>
              <w:top w:val="single" w:sz="6" w:space="0" w:color="auto"/>
              <w:left w:val="single" w:sz="6" w:space="0" w:color="auto"/>
              <w:bottom w:val="single" w:sz="6" w:space="0" w:color="auto"/>
              <w:right w:val="single" w:sz="6" w:space="0" w:color="auto"/>
            </w:tcBorders>
          </w:tcPr>
          <w:p w14:paraId="18EDAD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13558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6A425E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24FAF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5FFD5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1 594</w:t>
            </w:r>
          </w:p>
        </w:tc>
        <w:tc>
          <w:tcPr>
            <w:tcW w:w="1500" w:type="dxa"/>
            <w:gridSpan w:val="2"/>
            <w:tcBorders>
              <w:top w:val="single" w:sz="6" w:space="0" w:color="auto"/>
              <w:left w:val="single" w:sz="6" w:space="0" w:color="auto"/>
              <w:bottom w:val="single" w:sz="6" w:space="0" w:color="auto"/>
              <w:right w:val="single" w:sz="6" w:space="0" w:color="auto"/>
            </w:tcBorders>
          </w:tcPr>
          <w:p w14:paraId="02B5D5A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4D3075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ECC947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1 594</w:t>
            </w:r>
          </w:p>
        </w:tc>
      </w:tr>
      <w:tr w:rsidR="00000000" w14:paraId="64722DB0"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1E09A2B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72B5126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4110</w:t>
            </w:r>
          </w:p>
        </w:tc>
        <w:tc>
          <w:tcPr>
            <w:tcW w:w="1100" w:type="dxa"/>
            <w:tcBorders>
              <w:top w:val="single" w:sz="6" w:space="0" w:color="auto"/>
              <w:left w:val="single" w:sz="6" w:space="0" w:color="auto"/>
              <w:bottom w:val="single" w:sz="6" w:space="0" w:color="auto"/>
              <w:right w:val="single" w:sz="6" w:space="0" w:color="auto"/>
            </w:tcBorders>
          </w:tcPr>
          <w:p w14:paraId="2790399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2FEEC1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-358</w:t>
            </w:r>
          </w:p>
        </w:tc>
        <w:tc>
          <w:tcPr>
            <w:tcW w:w="1300" w:type="dxa"/>
            <w:tcBorders>
              <w:top w:val="single" w:sz="6" w:space="0" w:color="auto"/>
              <w:left w:val="single" w:sz="6" w:space="0" w:color="auto"/>
              <w:bottom w:val="single" w:sz="6" w:space="0" w:color="auto"/>
              <w:right w:val="single" w:sz="6" w:space="0" w:color="auto"/>
            </w:tcBorders>
          </w:tcPr>
          <w:p w14:paraId="68B30C3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7E84A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588D7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c>
          <w:tcPr>
            <w:tcW w:w="1500" w:type="dxa"/>
            <w:gridSpan w:val="2"/>
            <w:tcBorders>
              <w:top w:val="single" w:sz="6" w:space="0" w:color="auto"/>
              <w:left w:val="single" w:sz="6" w:space="0" w:color="auto"/>
              <w:bottom w:val="single" w:sz="6" w:space="0" w:color="auto"/>
              <w:right w:val="single" w:sz="6" w:space="0" w:color="auto"/>
            </w:tcBorders>
          </w:tcPr>
          <w:p w14:paraId="4DCCDA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6EDDF9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2EA754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w:t>
            </w:r>
          </w:p>
        </w:tc>
      </w:tr>
      <w:tr w:rsidR="00000000" w14:paraId="517B2ECC"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0B4FA31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093151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4111</w:t>
            </w:r>
          </w:p>
        </w:tc>
        <w:tc>
          <w:tcPr>
            <w:tcW w:w="1100" w:type="dxa"/>
            <w:tcBorders>
              <w:top w:val="single" w:sz="6" w:space="0" w:color="auto"/>
              <w:left w:val="single" w:sz="6" w:space="0" w:color="auto"/>
              <w:bottom w:val="single" w:sz="6" w:space="0" w:color="auto"/>
              <w:right w:val="single" w:sz="6" w:space="0" w:color="auto"/>
            </w:tcBorders>
          </w:tcPr>
          <w:p w14:paraId="441AE24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667DDB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-358</w:t>
            </w:r>
          </w:p>
        </w:tc>
        <w:tc>
          <w:tcPr>
            <w:tcW w:w="1300" w:type="dxa"/>
            <w:tcBorders>
              <w:top w:val="single" w:sz="6" w:space="0" w:color="auto"/>
              <w:left w:val="single" w:sz="6" w:space="0" w:color="auto"/>
              <w:bottom w:val="single" w:sz="6" w:space="0" w:color="auto"/>
              <w:right w:val="single" w:sz="6" w:space="0" w:color="auto"/>
            </w:tcBorders>
          </w:tcPr>
          <w:p w14:paraId="69B09A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727F4D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2E8AF5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c>
          <w:tcPr>
            <w:tcW w:w="1500" w:type="dxa"/>
            <w:gridSpan w:val="2"/>
            <w:tcBorders>
              <w:top w:val="single" w:sz="6" w:space="0" w:color="auto"/>
              <w:left w:val="single" w:sz="6" w:space="0" w:color="auto"/>
              <w:bottom w:val="single" w:sz="6" w:space="0" w:color="auto"/>
              <w:right w:val="single" w:sz="6" w:space="0" w:color="auto"/>
            </w:tcBorders>
          </w:tcPr>
          <w:p w14:paraId="039BE1F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E38AB8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2F18477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w:t>
            </w:r>
          </w:p>
        </w:tc>
      </w:tr>
      <w:tr w:rsidR="00000000" w14:paraId="52159CDF"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7DBF1E4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27F95F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4112</w:t>
            </w:r>
          </w:p>
        </w:tc>
        <w:tc>
          <w:tcPr>
            <w:tcW w:w="1100" w:type="dxa"/>
            <w:tcBorders>
              <w:top w:val="single" w:sz="6" w:space="0" w:color="auto"/>
              <w:left w:val="single" w:sz="6" w:space="0" w:color="auto"/>
              <w:bottom w:val="single" w:sz="6" w:space="0" w:color="auto"/>
              <w:right w:val="single" w:sz="6" w:space="0" w:color="auto"/>
            </w:tcBorders>
          </w:tcPr>
          <w:p w14:paraId="24C9571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B1F43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964FB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22058C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DF9D8C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74FE1D0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3ABEA4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548BA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6A1D108"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222FFA4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25A1DC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4113</w:t>
            </w:r>
          </w:p>
        </w:tc>
        <w:tc>
          <w:tcPr>
            <w:tcW w:w="1100" w:type="dxa"/>
            <w:tcBorders>
              <w:top w:val="single" w:sz="6" w:space="0" w:color="auto"/>
              <w:left w:val="single" w:sz="6" w:space="0" w:color="auto"/>
              <w:bottom w:val="single" w:sz="6" w:space="0" w:color="auto"/>
              <w:right w:val="single" w:sz="6" w:space="0" w:color="auto"/>
            </w:tcBorders>
          </w:tcPr>
          <w:p w14:paraId="4D97B8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084B96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EC9A7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91EF5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3AB40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BE9519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0EC480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39503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3EB2AD"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08DCC256"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181807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4114</w:t>
            </w:r>
          </w:p>
        </w:tc>
        <w:tc>
          <w:tcPr>
            <w:tcW w:w="1100" w:type="dxa"/>
            <w:tcBorders>
              <w:top w:val="single" w:sz="6" w:space="0" w:color="auto"/>
              <w:left w:val="single" w:sz="6" w:space="0" w:color="auto"/>
              <w:bottom w:val="single" w:sz="6" w:space="0" w:color="auto"/>
              <w:right w:val="single" w:sz="6" w:space="0" w:color="auto"/>
            </w:tcBorders>
          </w:tcPr>
          <w:p w14:paraId="6CEC5E1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2E20F5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57444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8718A5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6D54B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FB5BF8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3A827F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B6163C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581F30C"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5A594C58"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2ED2C05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4116</w:t>
            </w:r>
          </w:p>
        </w:tc>
        <w:tc>
          <w:tcPr>
            <w:tcW w:w="1100" w:type="dxa"/>
            <w:tcBorders>
              <w:top w:val="single" w:sz="6" w:space="0" w:color="auto"/>
              <w:left w:val="single" w:sz="6" w:space="0" w:color="auto"/>
              <w:bottom w:val="single" w:sz="6" w:space="0" w:color="auto"/>
              <w:right w:val="single" w:sz="6" w:space="0" w:color="auto"/>
            </w:tcBorders>
          </w:tcPr>
          <w:p w14:paraId="66295A1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B71FC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EF8186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ECDC65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73DFE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05A202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C8FC72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2D878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4B478AB"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2555DDE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Розподіл прибутку: </w:t>
            </w:r>
          </w:p>
          <w:p w14:paraId="6A2F4095"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31CD878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4200</w:t>
            </w:r>
          </w:p>
        </w:tc>
        <w:tc>
          <w:tcPr>
            <w:tcW w:w="1100" w:type="dxa"/>
            <w:tcBorders>
              <w:top w:val="single" w:sz="6" w:space="0" w:color="auto"/>
              <w:left w:val="single" w:sz="6" w:space="0" w:color="auto"/>
              <w:bottom w:val="single" w:sz="6" w:space="0" w:color="auto"/>
              <w:right w:val="single" w:sz="6" w:space="0" w:color="auto"/>
            </w:tcBorders>
          </w:tcPr>
          <w:p w14:paraId="34D4C8A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223094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528F69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F88BE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C1402B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26B83A2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49B11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C02063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BC72A05"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1A85FD0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2149E02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4205</w:t>
            </w:r>
          </w:p>
        </w:tc>
        <w:tc>
          <w:tcPr>
            <w:tcW w:w="1100" w:type="dxa"/>
            <w:tcBorders>
              <w:top w:val="single" w:sz="6" w:space="0" w:color="auto"/>
              <w:left w:val="single" w:sz="6" w:space="0" w:color="auto"/>
              <w:bottom w:val="single" w:sz="6" w:space="0" w:color="auto"/>
              <w:right w:val="single" w:sz="6" w:space="0" w:color="auto"/>
            </w:tcBorders>
          </w:tcPr>
          <w:p w14:paraId="2A27DD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66A5CD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9783A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246C52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AB33E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79651B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36CB2E8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2BC5512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5CD897F"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32A3EE63"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55FD2D5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4210</w:t>
            </w:r>
          </w:p>
        </w:tc>
        <w:tc>
          <w:tcPr>
            <w:tcW w:w="1100" w:type="dxa"/>
            <w:tcBorders>
              <w:top w:val="single" w:sz="6" w:space="0" w:color="auto"/>
              <w:left w:val="single" w:sz="6" w:space="0" w:color="auto"/>
              <w:bottom w:val="single" w:sz="6" w:space="0" w:color="auto"/>
              <w:right w:val="single" w:sz="6" w:space="0" w:color="auto"/>
            </w:tcBorders>
          </w:tcPr>
          <w:p w14:paraId="6CC2747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AFA18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78D8D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C70C5F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w:t>
            </w:r>
          </w:p>
        </w:tc>
        <w:tc>
          <w:tcPr>
            <w:tcW w:w="1300" w:type="dxa"/>
            <w:tcBorders>
              <w:top w:val="single" w:sz="6" w:space="0" w:color="auto"/>
              <w:left w:val="single" w:sz="6" w:space="0" w:color="auto"/>
              <w:bottom w:val="single" w:sz="6" w:space="0" w:color="auto"/>
              <w:right w:val="single" w:sz="6" w:space="0" w:color="auto"/>
            </w:tcBorders>
          </w:tcPr>
          <w:p w14:paraId="4D6755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w:t>
            </w:r>
          </w:p>
        </w:tc>
        <w:tc>
          <w:tcPr>
            <w:tcW w:w="1500" w:type="dxa"/>
            <w:gridSpan w:val="2"/>
            <w:tcBorders>
              <w:top w:val="single" w:sz="6" w:space="0" w:color="auto"/>
              <w:left w:val="single" w:sz="6" w:space="0" w:color="auto"/>
              <w:bottom w:val="single" w:sz="6" w:space="0" w:color="auto"/>
              <w:right w:val="single" w:sz="6" w:space="0" w:color="auto"/>
            </w:tcBorders>
          </w:tcPr>
          <w:p w14:paraId="1057F34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91C11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4D761B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2454586"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29208DF4"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60F281A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4215</w:t>
            </w:r>
          </w:p>
        </w:tc>
        <w:tc>
          <w:tcPr>
            <w:tcW w:w="1100" w:type="dxa"/>
            <w:tcBorders>
              <w:top w:val="single" w:sz="6" w:space="0" w:color="auto"/>
              <w:left w:val="single" w:sz="6" w:space="0" w:color="auto"/>
              <w:bottom w:val="single" w:sz="6" w:space="0" w:color="auto"/>
              <w:right w:val="single" w:sz="6" w:space="0" w:color="auto"/>
            </w:tcBorders>
          </w:tcPr>
          <w:p w14:paraId="526611A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30C12AC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D92398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DB6D7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A7DC31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65B169A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622FC70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DF3EFD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8288887"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668922E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360C260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4220</w:t>
            </w:r>
          </w:p>
        </w:tc>
        <w:tc>
          <w:tcPr>
            <w:tcW w:w="1100" w:type="dxa"/>
            <w:tcBorders>
              <w:top w:val="single" w:sz="6" w:space="0" w:color="auto"/>
              <w:left w:val="single" w:sz="6" w:space="0" w:color="auto"/>
              <w:bottom w:val="single" w:sz="6" w:space="0" w:color="auto"/>
              <w:right w:val="single" w:sz="6" w:space="0" w:color="auto"/>
            </w:tcBorders>
          </w:tcPr>
          <w:p w14:paraId="0B1B799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38136AC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BF4D3A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A68625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191980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7982C22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28600CA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7D1D6C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F5561F9"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660A516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34E286C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4225</w:t>
            </w:r>
          </w:p>
        </w:tc>
        <w:tc>
          <w:tcPr>
            <w:tcW w:w="1100" w:type="dxa"/>
            <w:tcBorders>
              <w:top w:val="single" w:sz="6" w:space="0" w:color="auto"/>
              <w:left w:val="single" w:sz="6" w:space="0" w:color="auto"/>
              <w:bottom w:val="single" w:sz="6" w:space="0" w:color="auto"/>
              <w:right w:val="single" w:sz="6" w:space="0" w:color="auto"/>
            </w:tcBorders>
          </w:tcPr>
          <w:p w14:paraId="71598B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352866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FFB3F3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4B3F47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6B780B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08D2628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A1B5B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69E3B4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CBAB249"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599C49FF"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Внески учасників: </w:t>
            </w:r>
          </w:p>
          <w:p w14:paraId="5BCFB2D9"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4A0D084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4240</w:t>
            </w:r>
          </w:p>
        </w:tc>
        <w:tc>
          <w:tcPr>
            <w:tcW w:w="1100" w:type="dxa"/>
            <w:tcBorders>
              <w:top w:val="single" w:sz="6" w:space="0" w:color="auto"/>
              <w:left w:val="single" w:sz="6" w:space="0" w:color="auto"/>
              <w:bottom w:val="single" w:sz="6" w:space="0" w:color="auto"/>
              <w:right w:val="single" w:sz="6" w:space="0" w:color="auto"/>
            </w:tcBorders>
          </w:tcPr>
          <w:p w14:paraId="710420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66B46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C7B35F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DD162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4B3FDB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2818E04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D6096E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D89DB9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9FB69BA"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7156605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19BB41A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4245</w:t>
            </w:r>
          </w:p>
        </w:tc>
        <w:tc>
          <w:tcPr>
            <w:tcW w:w="1100" w:type="dxa"/>
            <w:tcBorders>
              <w:top w:val="single" w:sz="6" w:space="0" w:color="auto"/>
              <w:left w:val="single" w:sz="6" w:space="0" w:color="auto"/>
              <w:bottom w:val="single" w:sz="6" w:space="0" w:color="auto"/>
              <w:right w:val="single" w:sz="6" w:space="0" w:color="auto"/>
            </w:tcBorders>
          </w:tcPr>
          <w:p w14:paraId="3FD1646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F049B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EC01C2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B05C65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797935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CFD05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1C4A66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0312F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458B96B"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3D13F56A"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Вилучення капіталу: </w:t>
            </w:r>
          </w:p>
          <w:p w14:paraId="41BABA8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339195E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4260</w:t>
            </w:r>
          </w:p>
        </w:tc>
        <w:tc>
          <w:tcPr>
            <w:tcW w:w="1100" w:type="dxa"/>
            <w:tcBorders>
              <w:top w:val="single" w:sz="6" w:space="0" w:color="auto"/>
              <w:left w:val="single" w:sz="6" w:space="0" w:color="auto"/>
              <w:bottom w:val="single" w:sz="6" w:space="0" w:color="auto"/>
              <w:right w:val="single" w:sz="6" w:space="0" w:color="auto"/>
            </w:tcBorders>
          </w:tcPr>
          <w:p w14:paraId="733134E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1C78EA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FB7BB7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6A06D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39D23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2E7522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EA783D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B78CCE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DCC5EE4"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1ACE0402"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6C7C74CD"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4265</w:t>
            </w:r>
          </w:p>
        </w:tc>
        <w:tc>
          <w:tcPr>
            <w:tcW w:w="1100" w:type="dxa"/>
            <w:tcBorders>
              <w:top w:val="single" w:sz="6" w:space="0" w:color="auto"/>
              <w:left w:val="single" w:sz="6" w:space="0" w:color="auto"/>
              <w:bottom w:val="single" w:sz="6" w:space="0" w:color="auto"/>
              <w:right w:val="single" w:sz="6" w:space="0" w:color="auto"/>
            </w:tcBorders>
          </w:tcPr>
          <w:p w14:paraId="7D99BF8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0E557CF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0A862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6C687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952DAB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A9CAC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7A4527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5FBF3F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12390F4"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54614830"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331B40E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4270</w:t>
            </w:r>
          </w:p>
        </w:tc>
        <w:tc>
          <w:tcPr>
            <w:tcW w:w="1100" w:type="dxa"/>
            <w:tcBorders>
              <w:top w:val="single" w:sz="6" w:space="0" w:color="auto"/>
              <w:left w:val="single" w:sz="6" w:space="0" w:color="auto"/>
              <w:bottom w:val="single" w:sz="6" w:space="0" w:color="auto"/>
              <w:right w:val="single" w:sz="6" w:space="0" w:color="auto"/>
            </w:tcBorders>
          </w:tcPr>
          <w:p w14:paraId="379624EE"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61382B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58AB8E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5E3D9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12822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7BC8564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FA33B3C"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42456D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EC6499D"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0C7CB23E"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26CEA09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4275</w:t>
            </w:r>
          </w:p>
        </w:tc>
        <w:tc>
          <w:tcPr>
            <w:tcW w:w="1100" w:type="dxa"/>
            <w:tcBorders>
              <w:top w:val="single" w:sz="6" w:space="0" w:color="auto"/>
              <w:left w:val="single" w:sz="6" w:space="0" w:color="auto"/>
              <w:bottom w:val="single" w:sz="6" w:space="0" w:color="auto"/>
              <w:right w:val="single" w:sz="6" w:space="0" w:color="auto"/>
            </w:tcBorders>
          </w:tcPr>
          <w:p w14:paraId="5FF3467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2E381B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CF37F8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4702D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E819D4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0D7B20F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7AC160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2FD58E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5790343"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0802C73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6DA1E8F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4280</w:t>
            </w:r>
          </w:p>
        </w:tc>
        <w:tc>
          <w:tcPr>
            <w:tcW w:w="1100" w:type="dxa"/>
            <w:tcBorders>
              <w:top w:val="single" w:sz="6" w:space="0" w:color="auto"/>
              <w:left w:val="single" w:sz="6" w:space="0" w:color="auto"/>
              <w:bottom w:val="single" w:sz="6" w:space="0" w:color="auto"/>
              <w:right w:val="single" w:sz="6" w:space="0" w:color="auto"/>
            </w:tcBorders>
          </w:tcPr>
          <w:p w14:paraId="77723C7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486960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A3704B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BBD409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663C5B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CA49D5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2345A9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D82FEE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C5D59DE"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2E7EEF3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56AAFA1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4290</w:t>
            </w:r>
          </w:p>
        </w:tc>
        <w:tc>
          <w:tcPr>
            <w:tcW w:w="1100" w:type="dxa"/>
            <w:tcBorders>
              <w:top w:val="single" w:sz="6" w:space="0" w:color="auto"/>
              <w:left w:val="single" w:sz="6" w:space="0" w:color="auto"/>
              <w:bottom w:val="single" w:sz="6" w:space="0" w:color="auto"/>
              <w:right w:val="single" w:sz="6" w:space="0" w:color="auto"/>
            </w:tcBorders>
          </w:tcPr>
          <w:p w14:paraId="78488B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21BF30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5484636"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-12 000</w:t>
            </w:r>
          </w:p>
        </w:tc>
        <w:tc>
          <w:tcPr>
            <w:tcW w:w="1200" w:type="dxa"/>
            <w:tcBorders>
              <w:top w:val="single" w:sz="6" w:space="0" w:color="auto"/>
              <w:left w:val="single" w:sz="6" w:space="0" w:color="auto"/>
              <w:bottom w:val="single" w:sz="6" w:space="0" w:color="auto"/>
              <w:right w:val="single" w:sz="6" w:space="0" w:color="auto"/>
            </w:tcBorders>
          </w:tcPr>
          <w:p w14:paraId="50BA75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-56</w:t>
            </w:r>
          </w:p>
        </w:tc>
        <w:tc>
          <w:tcPr>
            <w:tcW w:w="1300" w:type="dxa"/>
            <w:tcBorders>
              <w:top w:val="single" w:sz="6" w:space="0" w:color="auto"/>
              <w:left w:val="single" w:sz="6" w:space="0" w:color="auto"/>
              <w:bottom w:val="single" w:sz="6" w:space="0" w:color="auto"/>
              <w:right w:val="single" w:sz="6" w:space="0" w:color="auto"/>
            </w:tcBorders>
          </w:tcPr>
          <w:p w14:paraId="1C3CD70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6511E67B"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AC3ECB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95C7E1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-12 056</w:t>
            </w:r>
          </w:p>
        </w:tc>
      </w:tr>
      <w:tr w:rsidR="00000000" w14:paraId="6FD2E632"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244D97FB"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4FCC354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4291</w:t>
            </w:r>
          </w:p>
        </w:tc>
        <w:tc>
          <w:tcPr>
            <w:tcW w:w="1100" w:type="dxa"/>
            <w:tcBorders>
              <w:top w:val="single" w:sz="6" w:space="0" w:color="auto"/>
              <w:left w:val="single" w:sz="6" w:space="0" w:color="auto"/>
              <w:bottom w:val="single" w:sz="6" w:space="0" w:color="auto"/>
              <w:right w:val="single" w:sz="6" w:space="0" w:color="auto"/>
            </w:tcBorders>
          </w:tcPr>
          <w:p w14:paraId="6823B38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3CAA8B92"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5B937D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DA0A1E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66FF08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F6C8F6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2C5C97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8CEC7C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C6BD5F5"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08D6024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1521354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4295</w:t>
            </w:r>
          </w:p>
        </w:tc>
        <w:tc>
          <w:tcPr>
            <w:tcW w:w="1100" w:type="dxa"/>
            <w:tcBorders>
              <w:top w:val="single" w:sz="6" w:space="0" w:color="auto"/>
              <w:left w:val="single" w:sz="6" w:space="0" w:color="auto"/>
              <w:bottom w:val="single" w:sz="6" w:space="0" w:color="auto"/>
              <w:right w:val="single" w:sz="6" w:space="0" w:color="auto"/>
            </w:tcBorders>
          </w:tcPr>
          <w:p w14:paraId="3605D17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8409E1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-358</w:t>
            </w:r>
          </w:p>
        </w:tc>
        <w:tc>
          <w:tcPr>
            <w:tcW w:w="1300" w:type="dxa"/>
            <w:tcBorders>
              <w:top w:val="single" w:sz="6" w:space="0" w:color="auto"/>
              <w:left w:val="single" w:sz="6" w:space="0" w:color="auto"/>
              <w:bottom w:val="single" w:sz="6" w:space="0" w:color="auto"/>
              <w:right w:val="single" w:sz="6" w:space="0" w:color="auto"/>
            </w:tcBorders>
          </w:tcPr>
          <w:p w14:paraId="01FCA6A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-12 000</w:t>
            </w:r>
          </w:p>
        </w:tc>
        <w:tc>
          <w:tcPr>
            <w:tcW w:w="1200" w:type="dxa"/>
            <w:tcBorders>
              <w:top w:val="single" w:sz="6" w:space="0" w:color="auto"/>
              <w:left w:val="single" w:sz="6" w:space="0" w:color="auto"/>
              <w:bottom w:val="single" w:sz="6" w:space="0" w:color="auto"/>
              <w:right w:val="single" w:sz="6" w:space="0" w:color="auto"/>
            </w:tcBorders>
          </w:tcPr>
          <w:p w14:paraId="549127A8"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84</w:t>
            </w:r>
          </w:p>
        </w:tc>
        <w:tc>
          <w:tcPr>
            <w:tcW w:w="1300" w:type="dxa"/>
            <w:tcBorders>
              <w:top w:val="single" w:sz="6" w:space="0" w:color="auto"/>
              <w:left w:val="single" w:sz="6" w:space="0" w:color="auto"/>
              <w:bottom w:val="single" w:sz="6" w:space="0" w:color="auto"/>
              <w:right w:val="single" w:sz="6" w:space="0" w:color="auto"/>
            </w:tcBorders>
          </w:tcPr>
          <w:p w14:paraId="5FAB489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1 928</w:t>
            </w:r>
          </w:p>
        </w:tc>
        <w:tc>
          <w:tcPr>
            <w:tcW w:w="1500" w:type="dxa"/>
            <w:gridSpan w:val="2"/>
            <w:tcBorders>
              <w:top w:val="single" w:sz="6" w:space="0" w:color="auto"/>
              <w:left w:val="single" w:sz="6" w:space="0" w:color="auto"/>
              <w:bottom w:val="single" w:sz="6" w:space="0" w:color="auto"/>
              <w:right w:val="single" w:sz="6" w:space="0" w:color="auto"/>
            </w:tcBorders>
          </w:tcPr>
          <w:p w14:paraId="490C1980"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03B252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280C56D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-10 346</w:t>
            </w:r>
          </w:p>
        </w:tc>
      </w:tr>
      <w:tr w:rsidR="00000000" w14:paraId="5C335B10" w14:textId="77777777">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14:paraId="4FFC1B21"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15A99609"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4300</w:t>
            </w:r>
          </w:p>
        </w:tc>
        <w:tc>
          <w:tcPr>
            <w:tcW w:w="1100" w:type="dxa"/>
            <w:tcBorders>
              <w:top w:val="single" w:sz="6" w:space="0" w:color="auto"/>
              <w:left w:val="single" w:sz="6" w:space="0" w:color="auto"/>
              <w:bottom w:val="single" w:sz="6" w:space="0" w:color="auto"/>
              <w:right w:val="single" w:sz="6" w:space="0" w:color="auto"/>
            </w:tcBorders>
          </w:tcPr>
          <w:p w14:paraId="25ED90F7"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350" w:type="dxa"/>
            <w:tcBorders>
              <w:top w:val="single" w:sz="6" w:space="0" w:color="auto"/>
              <w:left w:val="single" w:sz="6" w:space="0" w:color="auto"/>
              <w:bottom w:val="single" w:sz="6" w:space="0" w:color="auto"/>
              <w:right w:val="single" w:sz="6" w:space="0" w:color="auto"/>
            </w:tcBorders>
          </w:tcPr>
          <w:p w14:paraId="25DF2854"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15 972</w:t>
            </w:r>
          </w:p>
        </w:tc>
        <w:tc>
          <w:tcPr>
            <w:tcW w:w="1300" w:type="dxa"/>
            <w:tcBorders>
              <w:top w:val="single" w:sz="6" w:space="0" w:color="auto"/>
              <w:left w:val="single" w:sz="6" w:space="0" w:color="auto"/>
              <w:bottom w:val="single" w:sz="6" w:space="0" w:color="auto"/>
              <w:right w:val="single" w:sz="6" w:space="0" w:color="auto"/>
            </w:tcBorders>
          </w:tcPr>
          <w:p w14:paraId="7D1AD4C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9612A2A"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659</w:t>
            </w:r>
          </w:p>
        </w:tc>
        <w:tc>
          <w:tcPr>
            <w:tcW w:w="1300" w:type="dxa"/>
            <w:tcBorders>
              <w:top w:val="single" w:sz="6" w:space="0" w:color="auto"/>
              <w:left w:val="single" w:sz="6" w:space="0" w:color="auto"/>
              <w:bottom w:val="single" w:sz="6" w:space="0" w:color="auto"/>
              <w:right w:val="single" w:sz="6" w:space="0" w:color="auto"/>
            </w:tcBorders>
          </w:tcPr>
          <w:p w14:paraId="6F9B4155"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7 149</w:t>
            </w:r>
          </w:p>
        </w:tc>
        <w:tc>
          <w:tcPr>
            <w:tcW w:w="1500" w:type="dxa"/>
            <w:gridSpan w:val="2"/>
            <w:tcBorders>
              <w:top w:val="single" w:sz="6" w:space="0" w:color="auto"/>
              <w:left w:val="single" w:sz="6" w:space="0" w:color="auto"/>
              <w:bottom w:val="single" w:sz="6" w:space="0" w:color="auto"/>
              <w:right w:val="single" w:sz="6" w:space="0" w:color="auto"/>
            </w:tcBorders>
          </w:tcPr>
          <w:p w14:paraId="32263CEF"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FFC7BC1"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1424A0A3" w14:textId="77777777" w:rsidR="00DA0975" w:rsidRDefault="00DA0975">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44 780</w:t>
            </w:r>
          </w:p>
        </w:tc>
      </w:tr>
    </w:tbl>
    <w:p w14:paraId="39396A7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6AB59E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4890E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28FB781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23AD3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35E15FE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000000">
          <w:pgSz w:w="16838" w:h="11906" w:orient="landscape"/>
          <w:pgMar w:top="570" w:right="720" w:bottom="570" w:left="720" w:header="708" w:footer="708" w:gutter="0"/>
          <w:cols w:space="720"/>
          <w:noEndnote/>
        </w:sectPr>
      </w:pPr>
    </w:p>
    <w:p w14:paraId="2228DFD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000000">
          <w:pgSz w:w="16838" w:h="11906" w:orient="landscape"/>
          <w:pgMar w:top="570" w:right="720" w:bottom="570" w:left="720" w:header="708" w:footer="708" w:gutter="0"/>
          <w:cols w:space="720"/>
          <w:noEndnote/>
        </w:sectPr>
      </w:pPr>
    </w:p>
    <w:p w14:paraId="1520C494" w14:textId="77777777" w:rsidR="00DA0975" w:rsidRDefault="00DA0975">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Примітки до фінансової звітності, складеної відповідно до міжнародних стандартів фінансової звітності</w:t>
      </w:r>
    </w:p>
    <w:p w14:paraId="25222A7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ПРИМIТКИ </w:t>
      </w:r>
    </w:p>
    <w:p w14:paraId="2AC338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E5F0F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РIЧНОЇ ФIНАНСОВОЇ ЗВIТНОСТI  ВIДПОВIДНО ДО МСФЗ</w:t>
      </w:r>
    </w:p>
    <w:p w14:paraId="3FE6BF3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АКЦIОНЕРНОГО ТОВАРИСТВА "ЦЕНТР ФIН СЕРВIС" СТАНОМ НА 31 ГРУДНЯ 2024  Р.</w:t>
      </w:r>
    </w:p>
    <w:p w14:paraId="1241AD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CB31D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Заява про вiдповiдальнiсть Керiвництва щодо пiдготовки та затвердження фiнансової звiтностi</w:t>
      </w:r>
    </w:p>
    <w:p w14:paraId="7E8FE7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Керiвництво Акцiонерного товариства "Страхова компанiя "IНГО ЖИТТЯ" (далi - Товариство) несе вiдповiдальнiсть за пiдготовку цiєї фiнансової звiтностi, яка достовiрно вiдображає в усiх суттєвих аспектах фiнансовий стан Товариства на 31 грудня 2023 року i результати його дiяльностi, рух грошових коштiв та змiни у власному капiталi за перiод який закiнчився цiєю датою, а також за розкриття основних принципiв Облiкової полiтики та iншої пояснювальної iнформацiї, вiдповiдно до Мiжнародних стандартiв фiнансової </w:t>
      </w:r>
      <w:r>
        <w:rPr>
          <w:rFonts w:ascii="Times New Roman CYR" w:hAnsi="Times New Roman CYR" w:cs="Times New Roman CYR"/>
          <w:kern w:val="0"/>
        </w:rPr>
        <w:t>звiтностi (далi - МСФЗ) та Закону України "Про бухгалтерський облiк та фiнансову звiтнiсть в Українi" вiд 16.07.1999 р. № 996-ХIV.</w:t>
      </w:r>
    </w:p>
    <w:p w14:paraId="719E36B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 пiдготовцi фiнансової звiтностi Керiвництво несе вiдповiдальнiсть за: </w:t>
      </w:r>
    </w:p>
    <w:p w14:paraId="5DA679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належний вибiр та застосування Облiкової полiтики; </w:t>
      </w:r>
    </w:p>
    <w:p w14:paraId="56876E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представлення iнформацiї, зокрема, даних про Облiкову полiтику у формi, що забезпечує прийнятнiсть, достовiрнiсть, спiв ставнiсть та зрозумiлiсть такої iнформацiї; </w:t>
      </w:r>
    </w:p>
    <w:p w14:paraId="24A489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додаткове розкриття iнформацiї у випадках, коли виконання вимог МСФЗ є недостатнiм для розумiння користувачами впливу конкретних операцiй, iнших подiй та умов на фiнансовий стан та фiнансовi показники дiяльностi Товариства; </w:t>
      </w:r>
    </w:p>
    <w:p w14:paraId="5745FE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здiйснення оцiнки щодо здатностi Товариства продовжувати свою дiяльнiсть на безперервнiй основi. </w:t>
      </w:r>
    </w:p>
    <w:p w14:paraId="33357D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Керiвництво в межах своєї компетенцiї також несе вiдповiдальнiсть за: </w:t>
      </w:r>
    </w:p>
    <w:p w14:paraId="2618F64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розробку, впровадження та пiдтримання ефективної та надiйної системи внутрiшнього контролю у всiх пiдроздiлах Товариства; </w:t>
      </w:r>
    </w:p>
    <w:p w14:paraId="26AD6A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ведення належної облiкової документацiї, яка дозволяє у будь-який час продемонструвати та пояснити операцiї Товариства та розкрити iнформацiю з достатньою точнiстю щодо його фiнансового стану i надає Керiвництву можливiсть забезпечити вiдповiднiсть фiнансової звiтностi Товариства вимогам МСФЗ; </w:t>
      </w:r>
    </w:p>
    <w:p w14:paraId="65D0D16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ведення облiкової документацiї вiдповiдно до вимог мiсцевого законодавства та стандартiв бухгалтерського облiку України; </w:t>
      </w:r>
    </w:p>
    <w:p w14:paraId="16FEBF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застосування обгрунтовано доступних заходiв щодо збереження активiв Товариства; </w:t>
      </w:r>
    </w:p>
    <w:p w14:paraId="45F247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запобiгання i виявлення випадкiв шахрайства та iнших порушень. </w:t>
      </w:r>
    </w:p>
    <w:p w14:paraId="7AB2C3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Ця фiнансова звiтнiсть не пiдлягає обов'язковiй перевiрцi аудитором. Звiт аудитора наданий окремо.</w:t>
      </w:r>
    </w:p>
    <w:p w14:paraId="36F59C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Фiнансова звiтнiсть за фiнансовий рiк, що закiнчився 31 грудня 2024 р., була затверджена 31 сiчня 2025 р. вiд iменi Керiвництва Товариства.</w:t>
      </w:r>
    </w:p>
    <w:p w14:paraId="0792811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Директор      </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 xml:space="preserve">                          </w:t>
      </w:r>
      <w:r>
        <w:rPr>
          <w:rFonts w:ascii="Times New Roman CYR" w:hAnsi="Times New Roman CYR" w:cs="Times New Roman CYR"/>
          <w:kern w:val="0"/>
        </w:rPr>
        <w:tab/>
        <w:t>Колiсецька Людмила</w:t>
      </w:r>
    </w:p>
    <w:p w14:paraId="1A6E803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Головний бухгалтер</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Рулiкiвська Наталiя</w:t>
      </w:r>
    </w:p>
    <w:p w14:paraId="1C3A38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ЗМIСТ</w:t>
      </w:r>
    </w:p>
    <w:p w14:paraId="00950F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87A0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 </w:t>
      </w:r>
      <w:r>
        <w:rPr>
          <w:rFonts w:ascii="Times New Roman CYR" w:hAnsi="Times New Roman CYR" w:cs="Times New Roman CYR"/>
          <w:kern w:val="0"/>
        </w:rPr>
        <w:tab/>
        <w:t>ЗАГАЛЬНI ВIДОМОСТI</w:t>
      </w:r>
      <w:r>
        <w:rPr>
          <w:rFonts w:ascii="Times New Roman CYR" w:hAnsi="Times New Roman CYR" w:cs="Times New Roman CYR"/>
          <w:kern w:val="0"/>
        </w:rPr>
        <w:tab/>
      </w:r>
    </w:p>
    <w:p w14:paraId="7B1EF5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w:t>
      </w:r>
      <w:r>
        <w:rPr>
          <w:rFonts w:ascii="Times New Roman CYR" w:hAnsi="Times New Roman CYR" w:cs="Times New Roman CYR"/>
          <w:kern w:val="0"/>
        </w:rPr>
        <w:tab/>
        <w:t>Органiзацiйна структура та основнi види дiяльностi</w:t>
      </w:r>
      <w:r>
        <w:rPr>
          <w:rFonts w:ascii="Times New Roman CYR" w:hAnsi="Times New Roman CYR" w:cs="Times New Roman CYR"/>
          <w:kern w:val="0"/>
        </w:rPr>
        <w:tab/>
      </w:r>
    </w:p>
    <w:p w14:paraId="6DBA81C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w:t>
      </w:r>
      <w:r>
        <w:rPr>
          <w:rFonts w:ascii="Times New Roman CYR" w:hAnsi="Times New Roman CYR" w:cs="Times New Roman CYR"/>
          <w:kern w:val="0"/>
        </w:rPr>
        <w:tab/>
        <w:t>Економiчне середовище, в якому Товариство здiйснює свою дiяльнiсть</w:t>
      </w:r>
      <w:r>
        <w:rPr>
          <w:rFonts w:ascii="Times New Roman CYR" w:hAnsi="Times New Roman CYR" w:cs="Times New Roman CYR"/>
          <w:kern w:val="0"/>
        </w:rPr>
        <w:tab/>
      </w:r>
    </w:p>
    <w:p w14:paraId="2712BDF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w:t>
      </w:r>
      <w:r>
        <w:rPr>
          <w:rFonts w:ascii="Times New Roman CYR" w:hAnsi="Times New Roman CYR" w:cs="Times New Roman CYR"/>
          <w:kern w:val="0"/>
        </w:rPr>
        <w:tab/>
        <w:t>Основнi принципи Облiкової полiтики</w:t>
      </w:r>
      <w:r>
        <w:rPr>
          <w:rFonts w:ascii="Times New Roman CYR" w:hAnsi="Times New Roman CYR" w:cs="Times New Roman CYR"/>
          <w:kern w:val="0"/>
        </w:rPr>
        <w:tab/>
      </w:r>
    </w:p>
    <w:p w14:paraId="150F5A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w:t>
      </w:r>
      <w:r>
        <w:rPr>
          <w:rFonts w:ascii="Times New Roman CYR" w:hAnsi="Times New Roman CYR" w:cs="Times New Roman CYR"/>
          <w:kern w:val="0"/>
        </w:rPr>
        <w:tab/>
        <w:t>Важливi оцiнки i професiйнi судження при застосуваннi Облiкової полiтики</w:t>
      </w:r>
      <w:r>
        <w:rPr>
          <w:rFonts w:ascii="Times New Roman CYR" w:hAnsi="Times New Roman CYR" w:cs="Times New Roman CYR"/>
          <w:kern w:val="0"/>
        </w:rPr>
        <w:tab/>
      </w:r>
    </w:p>
    <w:p w14:paraId="08FD33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w:t>
      </w:r>
      <w:r>
        <w:rPr>
          <w:rFonts w:ascii="Times New Roman CYR" w:hAnsi="Times New Roman CYR" w:cs="Times New Roman CYR"/>
          <w:kern w:val="0"/>
        </w:rPr>
        <w:tab/>
        <w:t>Застосування МСФЗ</w:t>
      </w:r>
      <w:r>
        <w:rPr>
          <w:rFonts w:ascii="Times New Roman CYR" w:hAnsi="Times New Roman CYR" w:cs="Times New Roman CYR"/>
          <w:kern w:val="0"/>
        </w:rPr>
        <w:tab/>
      </w:r>
    </w:p>
    <w:p w14:paraId="74B746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1.6.</w:t>
      </w:r>
      <w:r>
        <w:rPr>
          <w:rFonts w:ascii="Times New Roman CYR" w:hAnsi="Times New Roman CYR" w:cs="Times New Roman CYR"/>
          <w:kern w:val="0"/>
        </w:rPr>
        <w:tab/>
        <w:t>Управлiння страховим ризиком</w:t>
      </w:r>
      <w:r>
        <w:rPr>
          <w:rFonts w:ascii="Times New Roman CYR" w:hAnsi="Times New Roman CYR" w:cs="Times New Roman CYR"/>
          <w:kern w:val="0"/>
        </w:rPr>
        <w:tab/>
      </w:r>
    </w:p>
    <w:p w14:paraId="362A08A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II. </w:t>
      </w:r>
      <w:r>
        <w:rPr>
          <w:rFonts w:ascii="Times New Roman CYR" w:hAnsi="Times New Roman CYR" w:cs="Times New Roman CYR"/>
          <w:kern w:val="0"/>
        </w:rPr>
        <w:tab/>
        <w:t>ОЦIНКА СТАТЕЙ ЗВIТНОСТI</w:t>
      </w:r>
      <w:r>
        <w:rPr>
          <w:rFonts w:ascii="Times New Roman CYR" w:hAnsi="Times New Roman CYR" w:cs="Times New Roman CYR"/>
          <w:kern w:val="0"/>
        </w:rPr>
        <w:tab/>
      </w:r>
    </w:p>
    <w:p w14:paraId="059B05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2.1. </w:t>
      </w:r>
      <w:r>
        <w:rPr>
          <w:rFonts w:ascii="Times New Roman CYR" w:hAnsi="Times New Roman CYR" w:cs="Times New Roman CYR"/>
          <w:kern w:val="0"/>
        </w:rPr>
        <w:tab/>
        <w:t>Нематерiальнi активи</w:t>
      </w:r>
      <w:r>
        <w:rPr>
          <w:rFonts w:ascii="Times New Roman CYR" w:hAnsi="Times New Roman CYR" w:cs="Times New Roman CYR"/>
          <w:kern w:val="0"/>
        </w:rPr>
        <w:tab/>
      </w:r>
    </w:p>
    <w:p w14:paraId="27290BE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2.2. </w:t>
      </w:r>
      <w:r>
        <w:rPr>
          <w:rFonts w:ascii="Times New Roman CYR" w:hAnsi="Times New Roman CYR" w:cs="Times New Roman CYR"/>
          <w:kern w:val="0"/>
        </w:rPr>
        <w:tab/>
        <w:t>Основнi засоби</w:t>
      </w:r>
      <w:r>
        <w:rPr>
          <w:rFonts w:ascii="Times New Roman CYR" w:hAnsi="Times New Roman CYR" w:cs="Times New Roman CYR"/>
          <w:kern w:val="0"/>
        </w:rPr>
        <w:tab/>
      </w:r>
    </w:p>
    <w:p w14:paraId="6CB9D4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2.3. </w:t>
      </w:r>
      <w:r>
        <w:rPr>
          <w:rFonts w:ascii="Times New Roman CYR" w:hAnsi="Times New Roman CYR" w:cs="Times New Roman CYR"/>
          <w:kern w:val="0"/>
        </w:rPr>
        <w:tab/>
        <w:t>Фiнансовi iнвестицiї</w:t>
      </w:r>
      <w:r>
        <w:rPr>
          <w:rFonts w:ascii="Times New Roman CYR" w:hAnsi="Times New Roman CYR" w:cs="Times New Roman CYR"/>
          <w:kern w:val="0"/>
        </w:rPr>
        <w:tab/>
      </w:r>
    </w:p>
    <w:p w14:paraId="300D1A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2.4.</w:t>
      </w:r>
      <w:r>
        <w:rPr>
          <w:rFonts w:ascii="Times New Roman CYR" w:hAnsi="Times New Roman CYR" w:cs="Times New Roman CYR"/>
          <w:kern w:val="0"/>
        </w:rPr>
        <w:tab/>
        <w:t>Вiдстроченi аквiзицiйнi витрати</w:t>
      </w:r>
      <w:r>
        <w:rPr>
          <w:rFonts w:ascii="Times New Roman CYR" w:hAnsi="Times New Roman CYR" w:cs="Times New Roman CYR"/>
          <w:kern w:val="0"/>
        </w:rPr>
        <w:tab/>
      </w:r>
    </w:p>
    <w:p w14:paraId="01C96E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2.5.</w:t>
      </w:r>
      <w:r>
        <w:rPr>
          <w:rFonts w:ascii="Times New Roman CYR" w:hAnsi="Times New Roman CYR" w:cs="Times New Roman CYR"/>
          <w:kern w:val="0"/>
        </w:rPr>
        <w:tab/>
        <w:t>Запаси</w:t>
      </w:r>
      <w:r>
        <w:rPr>
          <w:rFonts w:ascii="Times New Roman CYR" w:hAnsi="Times New Roman CYR" w:cs="Times New Roman CYR"/>
          <w:kern w:val="0"/>
        </w:rPr>
        <w:tab/>
      </w:r>
    </w:p>
    <w:p w14:paraId="279F45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2.6. </w:t>
      </w:r>
      <w:r>
        <w:rPr>
          <w:rFonts w:ascii="Times New Roman CYR" w:hAnsi="Times New Roman CYR" w:cs="Times New Roman CYR"/>
          <w:kern w:val="0"/>
        </w:rPr>
        <w:tab/>
        <w:t>Дебiторська заборгованiсть</w:t>
      </w:r>
      <w:r>
        <w:rPr>
          <w:rFonts w:ascii="Times New Roman CYR" w:hAnsi="Times New Roman CYR" w:cs="Times New Roman CYR"/>
          <w:kern w:val="0"/>
        </w:rPr>
        <w:tab/>
      </w:r>
    </w:p>
    <w:p w14:paraId="2435BA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2.7. </w:t>
      </w:r>
      <w:r>
        <w:rPr>
          <w:rFonts w:ascii="Times New Roman CYR" w:hAnsi="Times New Roman CYR" w:cs="Times New Roman CYR"/>
          <w:kern w:val="0"/>
        </w:rPr>
        <w:tab/>
        <w:t>Грошовi кошти та їх еквiваленти</w:t>
      </w:r>
      <w:r>
        <w:rPr>
          <w:rFonts w:ascii="Times New Roman CYR" w:hAnsi="Times New Roman CYR" w:cs="Times New Roman CYR"/>
          <w:kern w:val="0"/>
        </w:rPr>
        <w:tab/>
      </w:r>
    </w:p>
    <w:p w14:paraId="3C3B52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2.8. </w:t>
      </w:r>
      <w:r>
        <w:rPr>
          <w:rFonts w:ascii="Times New Roman CYR" w:hAnsi="Times New Roman CYR" w:cs="Times New Roman CYR"/>
          <w:kern w:val="0"/>
        </w:rPr>
        <w:tab/>
        <w:t>Частка перестраховикiв у страхових резервах</w:t>
      </w:r>
      <w:r>
        <w:rPr>
          <w:rFonts w:ascii="Times New Roman CYR" w:hAnsi="Times New Roman CYR" w:cs="Times New Roman CYR"/>
          <w:kern w:val="0"/>
        </w:rPr>
        <w:tab/>
      </w:r>
    </w:p>
    <w:p w14:paraId="4ADDEA5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2.9.</w:t>
      </w:r>
      <w:r>
        <w:rPr>
          <w:rFonts w:ascii="Times New Roman CYR" w:hAnsi="Times New Roman CYR" w:cs="Times New Roman CYR"/>
          <w:kern w:val="0"/>
        </w:rPr>
        <w:tab/>
        <w:t>Зареєстрований капiтал(пайовий) капiтал, резервний капiтал, капiтал в дооцiнках, нерозподiлений дохiд</w:t>
      </w:r>
      <w:r>
        <w:rPr>
          <w:rFonts w:ascii="Times New Roman CYR" w:hAnsi="Times New Roman CYR" w:cs="Times New Roman CYR"/>
          <w:kern w:val="0"/>
        </w:rPr>
        <w:tab/>
      </w:r>
    </w:p>
    <w:p w14:paraId="3E72FA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2.10.</w:t>
      </w:r>
      <w:r>
        <w:rPr>
          <w:rFonts w:ascii="Times New Roman CYR" w:hAnsi="Times New Roman CYR" w:cs="Times New Roman CYR"/>
          <w:kern w:val="0"/>
        </w:rPr>
        <w:tab/>
        <w:t>Зобов'язання з вiдстроченого податку</w:t>
      </w:r>
      <w:r>
        <w:rPr>
          <w:rFonts w:ascii="Times New Roman CYR" w:hAnsi="Times New Roman CYR" w:cs="Times New Roman CYR"/>
          <w:kern w:val="0"/>
        </w:rPr>
        <w:tab/>
      </w:r>
    </w:p>
    <w:p w14:paraId="5C056D6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2.11.</w:t>
      </w:r>
      <w:r>
        <w:rPr>
          <w:rFonts w:ascii="Times New Roman CYR" w:hAnsi="Times New Roman CYR" w:cs="Times New Roman CYR"/>
          <w:kern w:val="0"/>
        </w:rPr>
        <w:tab/>
        <w:t>Страховi резерви</w:t>
      </w:r>
      <w:r>
        <w:rPr>
          <w:rFonts w:ascii="Times New Roman CYR" w:hAnsi="Times New Roman CYR" w:cs="Times New Roman CYR"/>
          <w:kern w:val="0"/>
        </w:rPr>
        <w:tab/>
      </w:r>
    </w:p>
    <w:p w14:paraId="574288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2.12.</w:t>
      </w:r>
      <w:r>
        <w:rPr>
          <w:rFonts w:ascii="Times New Roman CYR" w:hAnsi="Times New Roman CYR" w:cs="Times New Roman CYR"/>
          <w:kern w:val="0"/>
        </w:rPr>
        <w:tab/>
        <w:t xml:space="preserve">Страхова та iнша кредиторська заборгованiсть </w:t>
      </w:r>
      <w:r>
        <w:rPr>
          <w:rFonts w:ascii="Times New Roman CYR" w:hAnsi="Times New Roman CYR" w:cs="Times New Roman CYR"/>
          <w:kern w:val="0"/>
        </w:rPr>
        <w:tab/>
      </w:r>
    </w:p>
    <w:p w14:paraId="2E69EB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2.13.</w:t>
      </w:r>
      <w:r>
        <w:rPr>
          <w:rFonts w:ascii="Times New Roman CYR" w:hAnsi="Times New Roman CYR" w:cs="Times New Roman CYR"/>
          <w:kern w:val="0"/>
        </w:rPr>
        <w:tab/>
        <w:t>Вiдстроченi комiсiйнi доходи вiд перестраховикiв</w:t>
      </w:r>
      <w:r>
        <w:rPr>
          <w:rFonts w:ascii="Times New Roman CYR" w:hAnsi="Times New Roman CYR" w:cs="Times New Roman CYR"/>
          <w:kern w:val="0"/>
        </w:rPr>
        <w:tab/>
      </w:r>
    </w:p>
    <w:p w14:paraId="3076E8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2.14.</w:t>
      </w:r>
      <w:r>
        <w:rPr>
          <w:rFonts w:ascii="Times New Roman CYR" w:hAnsi="Times New Roman CYR" w:cs="Times New Roman CYR"/>
          <w:kern w:val="0"/>
        </w:rPr>
        <w:tab/>
        <w:t>Визначення доходiв та витрат</w:t>
      </w:r>
      <w:r>
        <w:rPr>
          <w:rFonts w:ascii="Times New Roman CYR" w:hAnsi="Times New Roman CYR" w:cs="Times New Roman CYR"/>
          <w:kern w:val="0"/>
        </w:rPr>
        <w:tab/>
      </w:r>
    </w:p>
    <w:p w14:paraId="5CBC02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2.15.</w:t>
      </w:r>
      <w:r>
        <w:rPr>
          <w:rFonts w:ascii="Times New Roman CYR" w:hAnsi="Times New Roman CYR" w:cs="Times New Roman CYR"/>
          <w:kern w:val="0"/>
        </w:rPr>
        <w:tab/>
        <w:t>Податок на прибуток</w:t>
      </w:r>
      <w:r>
        <w:rPr>
          <w:rFonts w:ascii="Times New Roman CYR" w:hAnsi="Times New Roman CYR" w:cs="Times New Roman CYR"/>
          <w:kern w:val="0"/>
        </w:rPr>
        <w:tab/>
      </w:r>
    </w:p>
    <w:p w14:paraId="33C2AC5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2.16.</w:t>
      </w:r>
      <w:r>
        <w:rPr>
          <w:rFonts w:ascii="Times New Roman CYR" w:hAnsi="Times New Roman CYR" w:cs="Times New Roman CYR"/>
          <w:kern w:val="0"/>
        </w:rPr>
        <w:tab/>
        <w:t>Управлiння фiнансовими i страховими ризиками</w:t>
      </w:r>
      <w:r>
        <w:rPr>
          <w:rFonts w:ascii="Times New Roman CYR" w:hAnsi="Times New Roman CYR" w:cs="Times New Roman CYR"/>
          <w:kern w:val="0"/>
        </w:rPr>
        <w:tab/>
      </w:r>
    </w:p>
    <w:p w14:paraId="4E5938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2.17.</w:t>
      </w:r>
      <w:r>
        <w:rPr>
          <w:rFonts w:ascii="Times New Roman CYR" w:hAnsi="Times New Roman CYR" w:cs="Times New Roman CYR"/>
          <w:kern w:val="0"/>
        </w:rPr>
        <w:tab/>
        <w:t>Умовнi зобов'язання</w:t>
      </w:r>
      <w:r>
        <w:rPr>
          <w:rFonts w:ascii="Times New Roman CYR" w:hAnsi="Times New Roman CYR" w:cs="Times New Roman CYR"/>
          <w:kern w:val="0"/>
        </w:rPr>
        <w:tab/>
      </w:r>
    </w:p>
    <w:p w14:paraId="4FE306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2.18.</w:t>
      </w:r>
      <w:r>
        <w:rPr>
          <w:rFonts w:ascii="Times New Roman CYR" w:hAnsi="Times New Roman CYR" w:cs="Times New Roman CYR"/>
          <w:kern w:val="0"/>
        </w:rPr>
        <w:tab/>
        <w:t>Операцiї з пов'язанмими сторонами</w:t>
      </w:r>
      <w:r>
        <w:rPr>
          <w:rFonts w:ascii="Times New Roman CYR" w:hAnsi="Times New Roman CYR" w:cs="Times New Roman CYR"/>
          <w:kern w:val="0"/>
        </w:rPr>
        <w:tab/>
      </w:r>
    </w:p>
    <w:p w14:paraId="5385D36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2.19.</w:t>
      </w:r>
      <w:r>
        <w:rPr>
          <w:rFonts w:ascii="Times New Roman CYR" w:hAnsi="Times New Roman CYR" w:cs="Times New Roman CYR"/>
          <w:kern w:val="0"/>
        </w:rPr>
        <w:tab/>
        <w:t>Система внутрiшнього контролю</w:t>
      </w:r>
      <w:r>
        <w:rPr>
          <w:rFonts w:ascii="Times New Roman CYR" w:hAnsi="Times New Roman CYR" w:cs="Times New Roman CYR"/>
          <w:kern w:val="0"/>
        </w:rPr>
        <w:tab/>
      </w:r>
    </w:p>
    <w:p w14:paraId="500BFB5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III. </w:t>
      </w:r>
      <w:r>
        <w:rPr>
          <w:rFonts w:ascii="Times New Roman CYR" w:hAnsi="Times New Roman CYR" w:cs="Times New Roman CYR"/>
          <w:kern w:val="0"/>
        </w:rPr>
        <w:tab/>
        <w:t>ПОДIЇ ПIСЛЯ ЗВIТНОГО ПЕРIОДУ</w:t>
      </w:r>
      <w:r>
        <w:rPr>
          <w:rFonts w:ascii="Times New Roman CYR" w:hAnsi="Times New Roman CYR" w:cs="Times New Roman CYR"/>
          <w:kern w:val="0"/>
        </w:rPr>
        <w:tab/>
      </w:r>
    </w:p>
    <w:p w14:paraId="76B652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B88228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w:t>
      </w:r>
      <w:r>
        <w:rPr>
          <w:rFonts w:ascii="Times New Roman CYR" w:hAnsi="Times New Roman CYR" w:cs="Times New Roman CYR"/>
          <w:kern w:val="0"/>
        </w:rPr>
        <w:tab/>
        <w:t>ЗАГАЛЬНI ВIДОМОСТI</w:t>
      </w:r>
    </w:p>
    <w:p w14:paraId="40A0DA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w:t>
      </w:r>
      <w:r>
        <w:rPr>
          <w:rFonts w:ascii="Times New Roman CYR" w:hAnsi="Times New Roman CYR" w:cs="Times New Roman CYR"/>
          <w:kern w:val="0"/>
        </w:rPr>
        <w:tab/>
        <w:t xml:space="preserve">ОРГАНIЗАЦIЙНА СТРУКТУРА ТА ОСНОВНI ВИДИ ДIЯЛЬНОСТI </w:t>
      </w:r>
    </w:p>
    <w:p w14:paraId="75FD65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Акцiонерне товариство "ЦЕНТР ФIН СЕРВIС" (попередня назва СТРАХОВА КОМПАНIЯ "IНГО ЖИТТЯ") (далi - Компанiя) зареєстроване 16 серпня 2007 р. за законодавством України.</w:t>
      </w:r>
    </w:p>
    <w:p w14:paraId="151AF2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5C885D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 видом дiяльностi Компанiї було надання страхових послуг. </w:t>
      </w:r>
    </w:p>
    <w:p w14:paraId="38C2F0A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99814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здiйснювал страхування у формi добровiльного страхування життя на пiдставi Лiцензiї № 642000 серiї АЕ вiд 14.07.2015 р., виданої Нацiональною комiсiєю, що здiйснює державне регулювання у сферi ринкiв фiнансових послуг. 02.08.2024 року Нацiональний банк України анулював Лiцензiю.</w:t>
      </w:r>
    </w:p>
    <w:p w14:paraId="4A631B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Юридична та фактична адреси Компанiї: 01054, м. Київ, вул. Бульварно-Кудрявська, 33.</w:t>
      </w:r>
    </w:p>
    <w:p w14:paraId="572775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31.12.2024 р., в Компанiї працювало 2 особи (в тому числi штатних -2). </w:t>
      </w:r>
    </w:p>
    <w:p w14:paraId="1FC47E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31.12.2023 р., в Компанiї працювало 5 осiб (в тому числi штатних - 3). </w:t>
      </w:r>
    </w:p>
    <w:p w14:paraId="5037B6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2024 р. та 20223 р. власниками iстотної участi Компанiї були:</w:t>
      </w:r>
    </w:p>
    <w:p w14:paraId="0469A6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АТ "СК "IНГО" (м. Київ, вул. Бульварно-Кудрявська, 33) - кiлькiсть акцiй, що належить акцiонеру, становить 209 988 шт., що складає 99,994285% статутного капiталу АТ "СТРАХОВА КОМПАНIЯ "IНГО ЖИТТЯ".</w:t>
      </w:r>
    </w:p>
    <w:p w14:paraId="641EDD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Станом на 31 грудня 2024 р. та 2023 р. кiнцевим бенефiцiарним власником (контролером) Компанiї був Ярославський Олександр Владиленович.</w:t>
      </w:r>
    </w:p>
    <w:p w14:paraId="0F2544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Фiнансова звiтнiсть Акцiонерного Товариства "ЦЕНТ ФIН СЕРВIС" за рiк, що закiнчився 31 грудня 2024 р., була пiдписана 31 сiчня 2025 р.</w:t>
      </w:r>
    </w:p>
    <w:p w14:paraId="23D243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w:t>
      </w:r>
      <w:r>
        <w:rPr>
          <w:rFonts w:ascii="Times New Roman CYR" w:hAnsi="Times New Roman CYR" w:cs="Times New Roman CYR"/>
          <w:kern w:val="0"/>
        </w:rPr>
        <w:tab/>
        <w:t>ЕКОНОМIЧНЕ СЕРЕДОВИЩЕ, В ЯКОМУ ТОВАРИСТВО ЗДIЙСНЮЄ СВОЮ ДIЯЛЬНIСТЬ</w:t>
      </w:r>
    </w:p>
    <w:p w14:paraId="54815FB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здiйснює свою дiяльнiсть на територiї України, внаслiдок чого на Компанiю впливають економiчнi та фiнансовi ризики ринкiв України.</w:t>
      </w:r>
    </w:p>
    <w:p w14:paraId="02424D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24 лютого 2022 року у зв'язку з вiйськовою агресiєю Росiйської Федерацiї проти України Указом Президента України № 64/2022 введено воєнний стан.</w:t>
      </w:r>
    </w:p>
    <w:p w14:paraId="44A3BC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зв'язку iз введенням в Українi воєнного стану, тимчасово, на перiод дiї правового режиму воєнного стану, можуть обмежуватися конституцiйнi права i свободи людини i громадянина, передбаченi Конституцiєю України, що може негативно вплинути на економiку держави в цiлому.</w:t>
      </w:r>
    </w:p>
    <w:p w14:paraId="587CCF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Воєнний стан, як спецiальний правовий режим в iсторiї суверенної  України введено вперше, тому передбачити та спрогнозувати його наслiдки, наслiдки безпосередньо самої збройної агресiї в короткостроковiй та довгостроковiй перспективi неможливо, оскiльки верхнерiвневi сценарiї розвитку подiй - невiдомi та непередбачуванi.  </w:t>
      </w:r>
    </w:p>
    <w:p w14:paraId="472CF6E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Фiнансова спроможнiсть страховикiв у воєнний час прямо залежить вiд якостi та структури їх активiв i запасу капiталу у довоєнний перiод.</w:t>
      </w:r>
    </w:p>
    <w:p w14:paraId="230827D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зв'язку з воєнним станом Товариство не припиняє своєї дiяльностi, усi спiвробiтники виконують свої функцiональнi обов'язки, в Товариствi забезпечена технiчна можливiсть працювати в дистанцiйному режимi .</w:t>
      </w:r>
    </w:p>
    <w:p w14:paraId="0AED915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Керiвництво Товариства стежить за станом розвитку складної ситуацiї i вживає заходiв, за необхiдностi, для мiнiмiзацiї будь-яких негативних наслiдкiв наскiльки це можливо. </w:t>
      </w:r>
    </w:p>
    <w:p w14:paraId="56EC8FF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Отже, на дату затвердження звiтностi Товариство функцiонує в нестабiльному середовищi, пов'язаному з свiтовою економiчною кризою та iз внутрiшньою полiтичною кризою. </w:t>
      </w:r>
    </w:p>
    <w:p w14:paraId="4C5BD1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Полiпшення економiчної ситуацiї в Українi в значнiй мiрi залежитиме вiд ефективностi фiскальних i iнших заходiв, якi здiйснюватимуться урядом України. В той же час не iснує чiткого уявлення того, якi заходи прийматиме уряд України для подолання економiчної та полiтичної кризи. Тому неможливо достовiрно оцiнити ефект впливу поточної економiчної та полiтичної ситуацiї на лiквiднiсть i дохiд Товариства, стабiльнiсть i структуру її операцiй iз споживачами i остачальниками.</w:t>
      </w:r>
    </w:p>
    <w:p w14:paraId="798B40A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груднi 2023 року iнфляцiя залишилася на рiвнi листопада - 5,1% у рiчному вимiрi. У мiсячному вимiрi цiни зросли на 0,7%. Про це свiдчать данi, опублiкованi Державною службою статистики України.</w:t>
      </w:r>
    </w:p>
    <w:p w14:paraId="6E3BB7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Дана фiнансова звiтнiсть не включає нiяких коригувань, якi можуть мати мiсце в результатi такої невизначеностi. Про такi коригування буде повiдомлено, якщо вони стануть вiдомi i зможуть бути оцiненi.</w:t>
      </w:r>
    </w:p>
    <w:p w14:paraId="040561C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D84A9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w:t>
      </w:r>
      <w:r>
        <w:rPr>
          <w:rFonts w:ascii="Times New Roman CYR" w:hAnsi="Times New Roman CYR" w:cs="Times New Roman CYR"/>
          <w:kern w:val="0"/>
        </w:rPr>
        <w:tab/>
        <w:t>ОСНОВНI ПРИНЦИПИ ОБЛIКОВОЇ ПОЛIТИКИ</w:t>
      </w:r>
    </w:p>
    <w:p w14:paraId="4570BC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Ця фiнансова звiтнiсть була пiдготовлена </w:t>
      </w:r>
      <w:r>
        <w:rPr>
          <w:rFonts w:ascii="Times New Roman CYR" w:hAnsi="Times New Roman CYR" w:cs="Times New Roman CYR"/>
          <w:kern w:val="0"/>
        </w:rPr>
        <w:t xml:space="preserve">у вiдповiдностi до Мiжнародних стандартiв фiнансової звiтностi (МСФЗ), що вiдповiдає вимогам п. 2 ст. 121 Закону України "Про бухгалтерський облiк та фiнансову звiтнiсть в Українi" вiд 16.07.1999 р. № 996-ХIV (далi - ЗУ № 996-ХIV), за перiод, який закiнчився 31 грудня 2023 року. Попереднiй звiтний перiод був з 01 сiчня по 31 грудня 2022 року. </w:t>
      </w:r>
    </w:p>
    <w:p w14:paraId="10F9C31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Основа пiдготовки фiнансової звiтностi</w:t>
      </w:r>
    </w:p>
    <w:p w14:paraId="58BD4D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Ця фiнансова звiтнiсть була пiдготовлена згiдно з Мiжнародними стандартами фiнансової звiтностi (МСФЗ) та Мiжнародними стандартами бухгалтерського облiку (МСБО), виданими Радою з Мiжнародних стандартiв бухгалтерського облiку, та тлумаченням (спiльно з МСФЗ) на основi принципу iсторичної вартостi, за виключенням первiсного визнання фiнансових iнструментiв, якi оцiнюються за справедливою та амортизованою вартiстю.</w:t>
      </w:r>
    </w:p>
    <w:p w14:paraId="715B97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положення Облiкової полiтики, якi застосовувались пiд час пiдготовки цiєї фiнансової звiтностi, викладенi нижче. Ця полiтика послiдовно застосовувалась до усiх поданих перiодiв, якщо не зазначено iнше.</w:t>
      </w:r>
    </w:p>
    <w:p w14:paraId="61C7A6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Дана фiнансова звiтнiсть мiстить усю iнформацiю, обов'язкову для розгляду в рамках рiчної консолiдованої фiнансової звiтностi та має розглядатися </w:t>
      </w:r>
      <w:r>
        <w:rPr>
          <w:rFonts w:ascii="Times New Roman CYR" w:hAnsi="Times New Roman CYR" w:cs="Times New Roman CYR"/>
          <w:kern w:val="0"/>
        </w:rPr>
        <w:lastRenderedPageBreak/>
        <w:t xml:space="preserve">разом iз консолiдованою фiнансовою звiтнiстю за перiод, що завершився 31 грудня 2023 року, яка була пiдготовлена вiдповiдно до Мiжнародних стандартiв фiнансової звiтностi (МСФО). </w:t>
      </w:r>
    </w:p>
    <w:p w14:paraId="435069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Функцiональна валюта та валюта подання даних у фiнансовiй звiтностi</w:t>
      </w:r>
    </w:p>
    <w:p w14:paraId="7EFB56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Функцiональною валютою та валютою подання цiєї фiнансової звiтностi є нацiональна валюта України - гривня з округленням до тисячi. Операцiї у валютах, якi вiдрiзняються вiд функцiональної валюти Товариства, вважаються операцiями у iноземних валютах та проводяться в облiку за курсом Нацiонального банку України. Активи та зобов'язання  в iноземнiй валютi облiковуються за перерахунком у гривнi за курсом БУ на день складання фiнансової звiтностi.</w:t>
      </w:r>
    </w:p>
    <w:p w14:paraId="0B28A9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Вiдповiднi курси валют, використанi пiд час пiдготовки цiєї звiтностi, представленi наступним чином:</w:t>
      </w:r>
    </w:p>
    <w:p w14:paraId="3208A0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Курс НБУ, </w:t>
      </w:r>
    </w:p>
    <w:p w14:paraId="0FF4EC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грн. до iноземної валюти</w:t>
      </w:r>
      <w:r>
        <w:rPr>
          <w:rFonts w:ascii="Times New Roman CYR" w:hAnsi="Times New Roman CYR" w:cs="Times New Roman CYR"/>
          <w:kern w:val="0"/>
        </w:rPr>
        <w:tab/>
        <w:t>Станом на 31.12.2024 р.</w:t>
      </w:r>
      <w:r>
        <w:rPr>
          <w:rFonts w:ascii="Times New Roman CYR" w:hAnsi="Times New Roman CYR" w:cs="Times New Roman CYR"/>
          <w:kern w:val="0"/>
        </w:rPr>
        <w:tab/>
        <w:t>Станом на 31.12.2023 р.</w:t>
      </w:r>
    </w:p>
    <w:p w14:paraId="42201AB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Долар США</w:t>
      </w:r>
      <w:r>
        <w:rPr>
          <w:rFonts w:ascii="Times New Roman CYR" w:hAnsi="Times New Roman CYR" w:cs="Times New Roman CYR"/>
          <w:kern w:val="0"/>
        </w:rPr>
        <w:tab/>
        <w:t>42.0390</w:t>
      </w:r>
      <w:r>
        <w:rPr>
          <w:rFonts w:ascii="Times New Roman CYR" w:hAnsi="Times New Roman CYR" w:cs="Times New Roman CYR"/>
          <w:kern w:val="0"/>
        </w:rPr>
        <w:tab/>
        <w:t>37,9824</w:t>
      </w:r>
    </w:p>
    <w:p w14:paraId="64AEED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Євро</w:t>
      </w:r>
      <w:r>
        <w:rPr>
          <w:rFonts w:ascii="Times New Roman CYR" w:hAnsi="Times New Roman CYR" w:cs="Times New Roman CYR"/>
          <w:kern w:val="0"/>
        </w:rPr>
        <w:tab/>
        <w:t>43,9266</w:t>
      </w:r>
      <w:r>
        <w:rPr>
          <w:rFonts w:ascii="Times New Roman CYR" w:hAnsi="Times New Roman CYR" w:cs="Times New Roman CYR"/>
          <w:kern w:val="0"/>
        </w:rPr>
        <w:tab/>
        <w:t>42,2079</w:t>
      </w:r>
    </w:p>
    <w:p w14:paraId="25E77D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Курсовi рiзницi, якi виникають внаслiдок рiзницi оцiнки активiв та зобов'язань, вартiсть яких виражена в iноземнiй валютi, на дату первiсного визнання i дату складання фiнансового звiту вiдображаються як дохiд або витрати перiоду, в якому вони виникають.</w:t>
      </w:r>
    </w:p>
    <w:p w14:paraId="3CBB89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w:t>
      </w:r>
      <w:r>
        <w:rPr>
          <w:rFonts w:ascii="Times New Roman CYR" w:hAnsi="Times New Roman CYR" w:cs="Times New Roman CYR"/>
          <w:kern w:val="0"/>
        </w:rPr>
        <w:tab/>
        <w:t xml:space="preserve">ВИКОРИСТАННЯ ОЦIНОК I ПРОФЕСIЙНИХ СУДЖЕНЬ ПРИ ЗАСТОСУВАННI ОБЛIКОВОЇ ПОЛIТИКИ </w:t>
      </w:r>
    </w:p>
    <w:p w14:paraId="019A1A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Пiдготовка фiнансової звiтностi вiдповiдно до вимог МСФЗ зобов'язує Керiвництво робити судження, розрахунковi оцiнки й припущення, що впливають на застосування облiкової полiтики й величину вiдображених у фiнансовiй звiтностi активiв i зобов'язань, доходiв i витрат. Фактичнi результати можуть вiдрiзнятися вiд зазначених оцiнок.</w:t>
      </w:r>
    </w:p>
    <w:p w14:paraId="100420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Оцiнки й припущення переглядаються на регулярнiй основi. Коригування в оцiнках визнаються в тому звiтному перiодi, в якому були переглянутi вiдповiднi оцiнки, i в будь-яких наступних перiодах, яких вони стосуються.</w:t>
      </w:r>
    </w:p>
    <w:p w14:paraId="097177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ведення бухгалтерського облiку та складання фiнансової звiтностi активи i пасиви Компанiї оприбутковуються та облiковуються за:</w:t>
      </w:r>
    </w:p>
    <w:p w14:paraId="60FF71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вартiстю їх придбання чи виникнення - за iсторичною або первiсною вартiстю: активи - за сумою сплачених за них коштiв, їх еквiвалентiв або iнших форм компенсацiї; зобов'язання - за сумою мобiлiзованих коштiв в обмiн на такi зобов'язання або сумою коштiв чи їх еквiвалентiв, якi пiдлягають сплатi для погашення зобов'язань в процесi звичайної господарської дiяльностi;</w:t>
      </w:r>
    </w:p>
    <w:p w14:paraId="42BE3F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справедливою (ринковою) вартiстю: активи - за сумою, яку необхiдно було б сплатити для придбання (обмiну) таких активiв; зобов'язання - за сумою, якою може бути погашене таке зобов'язання в результатi операцiї мiж обiзнаними, зацiкавленими та незалежними сторонами; вираз "обiзнанi, зацiкавленi та незалежнi сторони" означає наявнiсть добре поiнформованого покупця, який має бажання купити, i добре поiнформованого продавця, що має бажання продати, якi є незалежними та дiють у власних iнтересах; приведення вар</w:t>
      </w:r>
      <w:r>
        <w:rPr>
          <w:rFonts w:ascii="Times New Roman CYR" w:hAnsi="Times New Roman CYR" w:cs="Times New Roman CYR"/>
          <w:kern w:val="0"/>
        </w:rPr>
        <w:t>тостi активiв у вiдповiднiсть до справедливої здiйснюється шляхом їх переоцiнки та класифiкацiї на предмет зменшення корисностi;</w:t>
      </w:r>
    </w:p>
    <w:p w14:paraId="179B8D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амортизованою собiвартiстю - вартiстю, за якою оцiнюються фiнансовий актив, фiнансове зобов'язання та яка складається з собiвартостi придбання, зменшеної на суму погашення основної суми боргу, збiльшеної (зменшеної) на суму накопиченої амортизацiї будь-якої рiзницi мiж первiсною вартiстю та вартiстю погашення, розрахованої з використанням ефективної ставки вiдсотка, зменшеної на суму часткового списання внаслiдок зменшення корисностi. </w:t>
      </w:r>
    </w:p>
    <w:p w14:paraId="45801BB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EB356E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Залежно вiд характеру та змiсту завдань рiзних складових облiкової системи, крiм зазначених в облiковiй полiтицi оцiнок, використовуються й iншi види оцiнки окремих груп активiв i зобов'язань.</w:t>
      </w:r>
    </w:p>
    <w:p w14:paraId="211AA5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63BC81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Активи i зобов'язання Компанiї оцiнюються так, щоб створенi пiд них резерви та вжитi заходи виключали можливiсть перенесення iснуючих фiнансових ризикiв на майбутнi звiтнi перiоди.</w:t>
      </w:r>
    </w:p>
    <w:p w14:paraId="0E77A2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Товариство вважає, що облiкова оцiнка, пов'язана з оцiнкою фiнансових iнструментiв, для яких вiдсутнi котирування ринкових цiн, є основним джерелом невизначеностi оцiнок у зв'язку з тим, що вона дуже схильна до змiн вiд перiоду до перiоду, оскiльки вона вимагає вiд Керiвництва брати до уваги припущення щодо процентних ставок, курсiв обмiну валют, кредитного рейтингу контрагента, оцiночних коригувань i характеру конкретних операцiй та вплив, який визнання змiни в оцiнках зробить на активи, вiдображенi у Звi</w:t>
      </w:r>
      <w:r>
        <w:rPr>
          <w:rFonts w:ascii="Times New Roman CYR" w:hAnsi="Times New Roman CYR" w:cs="Times New Roman CYR"/>
          <w:kern w:val="0"/>
        </w:rPr>
        <w:t>тi про фiнансовий стан, а також Звiтi про фiнансовi результати (сукупний дохiд), може виявитися суттєвим.</w:t>
      </w:r>
    </w:p>
    <w:p w14:paraId="1EB400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Залежно вiд характеру та змiсту завдань рiзних складникiв облiкової системи, крiм зазначених в Облiковiй полiтицi оцiнок, використовуються й iншi види оцiнки окремих груп активiв i зобов'язань.</w:t>
      </w:r>
    </w:p>
    <w:p w14:paraId="7A71D0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Активи i зобов'язання Товариства оцiнюються так, щоб створенi пiд них резерви та вжитi заходи виключали можливiсть перенесення наявних фiнансових ризикiв на майбутнi звiтнi перiоди.</w:t>
      </w:r>
    </w:p>
    <w:p w14:paraId="7B5E74C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Припущення про безперервнiсть дiяльностi </w:t>
      </w:r>
    </w:p>
    <w:p w14:paraId="71B2D5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Фiнансова звiтнiсть Товариства пiдготовлена виходячи з припущення щодо можливостi забезпечення ведення Товариством безперервної дiяльностi, вiдповiдно до якого реалiзацiя активiв i погашення зобов'язань вiдбувається в ходi звичайної дiяльностi. Фiнансова звiтнiсть не включає коригування, якi необхiдно було б провести в тому випадку, якби Товариство не могло забезпечити подальше здiйснення/ведення фiнансово-господарської дiяльностi вiдповiдно до принципiв безперервностi в дiяльностi.</w:t>
      </w:r>
    </w:p>
    <w:p w14:paraId="74B670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Внаслiдок воєнної агресiї, яку веде Росiйська Федерацiя на територiї України з 24 лютого 2022 року це створює суттєву невизначенiсть у дотриманнi вимог безперервної дiяльностi, яка вимагається МСФО, як основи складання фiнансової звiтностi. При складаннi фiнансової звiтностi за перiод 2023 року керiвництвом внесенi змiни в управлiння для подальшого функцiонування Товариства в умовах воєнного стану, що був введений Указом Президента України 24.02.2022 у зв'язку з вiйськовим нападом Росiї на територiю Україн</w:t>
      </w:r>
      <w:r>
        <w:rPr>
          <w:rFonts w:ascii="Times New Roman CYR" w:hAnsi="Times New Roman CYR" w:cs="Times New Roman CYR"/>
          <w:kern w:val="0"/>
        </w:rPr>
        <w:t>и.</w:t>
      </w:r>
    </w:p>
    <w:p w14:paraId="1611B9A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продовжує надавати страховi послуги та здiйснювати страховi виплати, але обсяг надходжень страхових премiй за перiод проведення вiйськових дiй скоротився. </w:t>
      </w:r>
    </w:p>
    <w:p w14:paraId="410BB4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Керiвництво не має про намiр лiквiдувати Товариство чи припинити дiяльнiсть та не має реальної альтернативи таким заходам. </w:t>
      </w:r>
    </w:p>
    <w:p w14:paraId="792014F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Нематерiальнi активи </w:t>
      </w:r>
    </w:p>
    <w:p w14:paraId="5ED1FF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Нематерiальнi активи, придбанi окремо або в результатi угод з об'єднання бiзнесу, визнаються окремо вiд гудвiла, якщо вони вiдповiдають визначенню нематерiальних активiв i їх справедлива вартiсть може бути достовiрно визначена. Одиницею облiку є окремий об'єкт нематерiальних активiв. </w:t>
      </w:r>
    </w:p>
    <w:p w14:paraId="393871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Амортизацiя окремого об'єкта нематерiальних активiв розраховується iз застосуванням прямолiнiйного методу, виходячи зi строку корисного використання об'єкта.</w:t>
      </w:r>
    </w:p>
    <w:p w14:paraId="455D1A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Тестування нематерiальних активiв на знецiнення проводиться Товариством у всiх випадках, коли є ознаки їх можливого знецiнення, щонайменше раз на рiк. </w:t>
      </w:r>
    </w:p>
    <w:p w14:paraId="1FE015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засоби</w:t>
      </w:r>
    </w:p>
    <w:p w14:paraId="72974A9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Об'єкти основних засобiв вiдображаються у фiнансовiй звiтностi за фактичними витратами, за винятком накопиченої амортизацiї й збиткiв вiд знецiнення та нерухомостi, яка вiдображається за переоцiненою вартiстю. Якщо об'єкт основних засобiв складається з декiлькох компонентiв, якi мають рiзний строк корисного використання, такi компоненти вiдображаються як окремi об'єкти основних засобiв.</w:t>
      </w:r>
    </w:p>
    <w:p w14:paraId="31152D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Майбутнi витрати</w:t>
      </w:r>
    </w:p>
    <w:p w14:paraId="148A7B5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замiну компонента об'єкта основних засобiв капiталiзуються, в той час як балансова вартiсть цього компонента списується. Iншi наступнi витрати капiталiзуються в тому випадку, якщо будуть отриманi вiдповiднi економiчнi вигоди вiд понесення таких витрат. Всi iншi витрати, включаючи витрати на ремонт i обслуговування, вiдображаються у складi прибутку або збитку в момент понесення.</w:t>
      </w:r>
    </w:p>
    <w:p w14:paraId="1FABAEF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Переоцiнка</w:t>
      </w:r>
    </w:p>
    <w:p w14:paraId="1863660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Нерухомiсть Товариства пiдлягає переоцiнцi на регулярнiй основi, залежно вiд змiн справедливої вартостi будинкiв та споруд, що пiдлягають </w:t>
      </w:r>
      <w:r>
        <w:rPr>
          <w:rFonts w:ascii="Times New Roman CYR" w:hAnsi="Times New Roman CYR" w:cs="Times New Roman CYR"/>
          <w:kern w:val="0"/>
        </w:rPr>
        <w:lastRenderedPageBreak/>
        <w:t xml:space="preserve">переоцiнцi. </w:t>
      </w:r>
    </w:p>
    <w:p w14:paraId="384E45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Амортизацiя</w:t>
      </w:r>
    </w:p>
    <w:p w14:paraId="2DC2B9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Амортизацiя основних засобiв нараховується за методом рiвномiрного нарахування протягом передбачуваного строку корисного використання й вiдображається у складi витрат. Амортизацiя нараховується з дати придбання об'єкта, а для об'єктiв основних засобiв, зведених власними силами - з моменту готовностi об'єкта до експлуатацiї. За земельними дiлянками амортизацiя не нараховується. </w:t>
      </w:r>
    </w:p>
    <w:p w14:paraId="225C17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Дiапазон строкiв корисного використання становить:</w:t>
      </w:r>
    </w:p>
    <w:p w14:paraId="420B9C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будинки та споруди - 65 рокiв;</w:t>
      </w:r>
    </w:p>
    <w:p w14:paraId="5277FFD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машини та обладнання - 5 рокiв;</w:t>
      </w:r>
    </w:p>
    <w:p w14:paraId="609F2B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транспортнi засоби - 10 рокiв;</w:t>
      </w:r>
    </w:p>
    <w:p w14:paraId="555F6C7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iнструменти, прилади, iнвентар (меблi) - 4 роки;</w:t>
      </w:r>
    </w:p>
    <w:p w14:paraId="48D14F7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iншi - 12 рокiв. </w:t>
      </w:r>
    </w:p>
    <w:p w14:paraId="20E2B5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Вiдстроченi аквiзицiйнi витрати</w:t>
      </w:r>
    </w:p>
    <w:p w14:paraId="3469AD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Вiдстроченi аквiзицiйнi витрати (далi - DAC), що пов'язанi iз забезпеченням нових i оновленням iснуючих договорiв страхування, включають комiсiйну винагороду страховим посередникам та перестраховим брокерам, оплату послуг спецiалiстiв, якi оцiнюють прийнятi на страхування ризики. </w:t>
      </w:r>
    </w:p>
    <w:p w14:paraId="5531B2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Витрати капiталiзуються та амортизуються протягом перiоду, в якому вiдповiднi страховi премiї визнаються заробленими. </w:t>
      </w:r>
    </w:p>
    <w:p w14:paraId="6E9FC8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DAC Товариства включають комiсiйну винагороду страховим посередникам та перестрахувальним брокерам. </w:t>
      </w:r>
    </w:p>
    <w:p w14:paraId="02E903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Розмiр DAC розраховується автоматично за кожним договором страхування та визначається як добуток частки комiсiйної винагороди у премiях на сформований резерв незаробленої премiї. При цьому DAC вiдносяться на поточнi витрати того самого перiоду, за який нарахований дохiд вiд страхової премiї за таким договором.</w:t>
      </w:r>
    </w:p>
    <w:p w14:paraId="40306C2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Сума добуткiв за всiма договорами портфеля Товариства становить DAC на звiтну дату, якi визнаються у якостi активу у Звiтi про фiнансовий стан Товариства. </w:t>
      </w:r>
    </w:p>
    <w:p w14:paraId="1CB0E8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iнструменти</w:t>
      </w:r>
    </w:p>
    <w:p w14:paraId="49D78E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Облiк фiнансових iнструментiв Товариством здiйснюється вiдповiдно до МСФЗ 9 "Фiнансовi iнструменти", МСФЗ 7 "Фiнансовi iнструменти: розкриття iнформацiї", МСФЗ 32 "Фiнансовi iнструменти: подання", МСБО 28 "Iнвестицiї в асоцiйованi пiдприємства". </w:t>
      </w:r>
    </w:p>
    <w:p w14:paraId="6D8732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активи та фiнансовi зобов'язання визнаються у Звiтi про фiнансовий стан Товариства у той момент, коли Товариство стає стороною контрактних зобов'язань щодо вiдповiдного iнструменту. </w:t>
      </w:r>
    </w:p>
    <w:p w14:paraId="769E5A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має такi категорiї фiнансових iнструментiв:</w:t>
      </w:r>
    </w:p>
    <w:p w14:paraId="34075C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борговi iнструменти, утримуванi з метою одержання купонного доходу до погашення: облiгацiї внутрiшнiх державних запозичень Мiнiстерства фiнансiв України (ОВДП), у тому числi ОВДП, номiнованi в iноземнiй валютi;</w:t>
      </w:r>
    </w:p>
    <w:p w14:paraId="196CEE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дебiторська заборгованiсть;</w:t>
      </w:r>
    </w:p>
    <w:p w14:paraId="0301FB7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грошовi кошти, їх еквiваленти.</w:t>
      </w:r>
    </w:p>
    <w:p w14:paraId="7E190A9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iнструменти Товариства при первiсному визнаннi визначаються на основi бiзнес-моделi, згiдно з якою управляються цi iнструменти:</w:t>
      </w:r>
    </w:p>
    <w:p w14:paraId="21B79D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iнструменти, якi утримуються з метою отримання передбачених договором грошових потокiв, оцiнюються за амортизованою собiвартiстю;</w:t>
      </w:r>
    </w:p>
    <w:p w14:paraId="1C1DFD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iнструменти, якi утримуються з метою отримання передбачених договором грошових потокiв та продажу, оцiнюються за справедливою вартiстю через iнший сукупний дохiд;</w:t>
      </w:r>
    </w:p>
    <w:p w14:paraId="4585129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iнструменти, якi утримуються для iнших цiлей, оцiнюються за справедливою вартiстю через прибуток або збиток.</w:t>
      </w:r>
    </w:p>
    <w:p w14:paraId="1D25F8E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Наступна оцiнка фiнансових активiв залежить вiд їх класифiкацiї. Товариство класифiкує фiнансовi активи як тi, що оцiнує у подальшому:</w:t>
      </w:r>
    </w:p>
    <w:p w14:paraId="54CA808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за амортизованою собiвартiстю (теперiшньою вартiстю) (АСВ);</w:t>
      </w:r>
    </w:p>
    <w:p w14:paraId="77B2516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w:t>
      </w:r>
      <w:r>
        <w:rPr>
          <w:rFonts w:ascii="Times New Roman CYR" w:hAnsi="Times New Roman CYR" w:cs="Times New Roman CYR"/>
          <w:kern w:val="0"/>
        </w:rPr>
        <w:tab/>
        <w:t>за справедливою вартiстю через iнший сукупний дохiд (CВIСД);</w:t>
      </w:r>
    </w:p>
    <w:p w14:paraId="0EE9AE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за справедливою вартiстю через прибуток або збиток (СВП/З).</w:t>
      </w:r>
    </w:p>
    <w:p w14:paraId="35D401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кожну наступну дату балансу фiнансовi активи оцiнюються за їх справедливою вартiстю, крiм: </w:t>
      </w:r>
    </w:p>
    <w:p w14:paraId="2145B1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дебiторської заборгованостi, що не призначена для перепродажу; </w:t>
      </w:r>
    </w:p>
    <w:p w14:paraId="09C7496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фiнансових iнвестицiй, що утримуються пiдприємством до їх погашення; </w:t>
      </w:r>
    </w:p>
    <w:p w14:paraId="3D56F3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фiнансових активiв, справедливу вартiсть яких неможливо достовiрно визначити; </w:t>
      </w:r>
    </w:p>
    <w:p w14:paraId="4BBE65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фiнансових iнвестицiй та iнших фiнансових активiв, щодо яких не застосовується оцiнка за справедливою вартiстю, зокрема:</w:t>
      </w:r>
    </w:p>
    <w:p w14:paraId="624F2A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Фiнансовi активи, якi оцiнюються за амортизованою вартiстю, згодом оцiнюються з використанням методу ефективної процентної ставки, i до них застосовуються вимоги щодо знецiнення.</w:t>
      </w:r>
    </w:p>
    <w:p w14:paraId="121612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Довгостроковi фiнансовi iнвестицiї (акцiї в дочiрнi пiдприємства, або такi, що облiковуються за методом пайової участi iнших пiдприємств, iншi довгостроковi фiнансовi iнвестицiї). </w:t>
      </w:r>
    </w:p>
    <w:p w14:paraId="73C52D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До категорiї фiнансових активiв, якi оцiнюються за амортизованою вартiстю, належать: </w:t>
      </w:r>
    </w:p>
    <w:p w14:paraId="6E5C70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дебiторська заборгованiсть</w:t>
      </w:r>
    </w:p>
    <w:p w14:paraId="6B57C9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грошовi кошти, їх еквiваленти.</w:t>
      </w:r>
    </w:p>
    <w:p w14:paraId="21D1E8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борговi iнструменти, утримуванi з метою одержання купонного доходу до погашення: облiгацiї внутрiшнiх державних запозичень Мiнiстерства фiнансiв України (ОВДП), у тому числi ОВДП, номiнованi в iноземнiй валютi;</w:t>
      </w:r>
    </w:p>
    <w:p w14:paraId="0CD2A2B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Для можливостi зменшити всi можливi ризики, що збiльшують ставку дисконту, Товариством обраний метод дисконтування за ефективною ставкою дисконту. </w:t>
      </w:r>
    </w:p>
    <w:p w14:paraId="07B923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w:t>
      </w:r>
    </w:p>
    <w:p w14:paraId="6489D66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за страховою дiяльнiстю включає:</w:t>
      </w:r>
    </w:p>
    <w:p w14:paraId="16F398F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за договорами страхування (перестрахування);</w:t>
      </w:r>
    </w:p>
    <w:p w14:paraId="1A41251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перестраховикiв за страховими виплатами;</w:t>
      </w:r>
    </w:p>
    <w:p w14:paraId="50397F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щодо комiсiйної винагороди перестраховикiв.</w:t>
      </w:r>
    </w:p>
    <w:p w14:paraId="48CB4A4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визначення справедливої вартостi Товариство обчислює величину резерву кредитних збиткiв на основi класифiкацiї дебiторської заборгованостi за термiнами її непогашення. Кредитнi збитки страхової дебiторської заборгованостi визначаються з урахуванням рейтингу страховикiв - дебiторiв.</w:t>
      </w:r>
    </w:p>
    <w:p w14:paraId="39ED16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Грошовi кошти та їх еквiваленти</w:t>
      </w:r>
    </w:p>
    <w:p w14:paraId="577C7A2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Грошовi кошти та їх еквiваленти включають кошти в касi, грошi на рахунках у банках, грошовi кошти в дорозi та iншi короткостроковi лiквiднi iнвестицiї зi строком розмiщення до трьох мiсяцiв.</w:t>
      </w:r>
    </w:p>
    <w:p w14:paraId="5D664A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Еквiваленти грошових коштiв - це короткостроковi високолiквiднi iнвестицiї, якi вiльно конвертуються у вiдомi суми грошових коштiв i яким властивий незначний ризик змiни вартостi. Суми, стосовно яких є якi-небудь обмеження на їх використання, виключаються зi складу грошових i прирiвняних до них коштiв. Товариство включає до складу грошових i прирiвняних до них коштiв наявнi кошти й залишки на банкiвських рахунках.</w:t>
      </w:r>
    </w:p>
    <w:p w14:paraId="3835F3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Кредитнi збитки</w:t>
      </w:r>
    </w:p>
    <w:p w14:paraId="08C1F1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Згiдно з МСФЗ 9 "Фiнансовi iнструменти", Товариство визначає резерв пiд очiкуванi кредитнi збитки за всiма своїми борговими фiнансовими активами, якi оцiнюються за амортизованою вартiстю або справедливою вартiстю через iнший сукупний дохiд. </w:t>
      </w:r>
    </w:p>
    <w:p w14:paraId="136298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Основним фактором, який Товариство бере до уваги при розглядi питання очiкуваних кредитних ризикiв за дебiторською заборгованiстю, є її прострочений статус, а за банкiвськими вкладами - кредитний статус банку та термiн вкладу.</w:t>
      </w:r>
    </w:p>
    <w:p w14:paraId="488427D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Збiльшення резервiв звiтного перiоду вiдбулося за рахунок збiльшення кредитного ризику за фiнансовими iнструментами.</w:t>
      </w:r>
    </w:p>
    <w:p w14:paraId="10F9B7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Процентнi доходи, витрати та комiсiйнi доходи</w:t>
      </w:r>
    </w:p>
    <w:p w14:paraId="5713CD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Процентнi доходи й витрати за борговими зобов'язаннями вiдображаються у складi доходiв або витрат з використанням методу ефективної </w:t>
      </w:r>
      <w:r>
        <w:rPr>
          <w:rFonts w:ascii="Times New Roman CYR" w:hAnsi="Times New Roman CYR" w:cs="Times New Roman CYR"/>
          <w:kern w:val="0"/>
        </w:rPr>
        <w:lastRenderedPageBreak/>
        <w:t>процентної ставки.</w:t>
      </w:r>
    </w:p>
    <w:p w14:paraId="2DB541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Процентнi доходи й витрати включають амортизацiю дисконту чи премiї або iншої рiзницi мiж первiсною вартiстю iнструмента i його вартiстю на дату погашення, визначеної з використанням ефективної процентної ставки.</w:t>
      </w:r>
    </w:p>
    <w:p w14:paraId="1D98E9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Взаємозалiк активiв i зобов'язань</w:t>
      </w:r>
    </w:p>
    <w:p w14:paraId="0E39D22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активи й зобов'язання вiдображаються у Звiтi про фiнансовий стан у згорнутому виглядi лише в тому випадку, якщо для цього є юридичнi пiдстави й намiр сторiн врегулювати заборгованiсть шляхом взаємозалiку або реалiзувати актив i виконати зобов'язання одночасно.</w:t>
      </w:r>
    </w:p>
    <w:p w14:paraId="5B403D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Договори страхування</w:t>
      </w:r>
    </w:p>
    <w:p w14:paraId="4A8119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Класифiкацiя договорiв страхування</w:t>
      </w:r>
    </w:p>
    <w:p w14:paraId="55BBFE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Договори, за якими Товариство бере на себе значний страховий ризик вiд iншої сторони (далi - страхувальника), погоджуючись компенсувати збитки страхувальника або iншого вигодонабувача, якщо вiдбудеться зумовлена договором подiя в майбутньому (далi - страховий випадок), що завдають шкоди страхувальниковi або iншому вигодонабувачу, належать до категорiї договорiв страхування.</w:t>
      </w:r>
    </w:p>
    <w:p w14:paraId="283238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виплати</w:t>
      </w:r>
    </w:p>
    <w:p w14:paraId="29B44B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виплати вiдображаються у Звiтi про фiнансовi результати в перiодi, в якому вони нарахованi.</w:t>
      </w:r>
    </w:p>
    <w:p w14:paraId="04BFE4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виплати й витрати на врегулювання збиткiв вiдображаються у складi доходiв або витрат на пiдставi оцiнки зобов'язання перед застрахованою особою чи третiми особами, на яких поширюються дiї страховика.</w:t>
      </w:r>
    </w:p>
    <w:p w14:paraId="50A18B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Договори страхування життя </w:t>
      </w:r>
    </w:p>
    <w:p w14:paraId="606929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D6797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Договiр страхування життя, за яким Компанiя бере на себе страховий ризик вiд iншої сторони (далi - страхувальник), погоджуючись здiйснити страхову виплату, згiдно з договором, у разi нещасного випадку, що стався iз застрахованою особою, та (або) хвороби застрахованої особи, у разi смертi застрахованої особи, а також, якщо це передбачено договором страхування, у разi дожиття застрахованої особи до закiнчення строку дiї договору страхування та (або) досягнення застрахованою особою визначеного договором вiку.</w:t>
      </w:r>
    </w:p>
    <w:p w14:paraId="4A1FDC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36214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Визнання й оцiнка договорiв страхування </w:t>
      </w:r>
    </w:p>
    <w:p w14:paraId="24A6D3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F1119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премiї включають премiї за договорами страхування життя, укладеними протягом року, i облiковуються як нарахованi в поточному звiтному перiодi, незалежно вiд того, чи вiдносяться вони повнiстю або частково до майбутнiх перiодiв. Премiї облiковуються до сплати комiсiйних винагород, що належать посередникам. Зароблена частина отриманих премiй визнається доходом. Дохiд вiд премiй нараховується з моменту прийняття ризику протягом перiоду вiдповiдальностi за вирахуванням математичних резервiв протягом вс</w:t>
      </w:r>
      <w:r>
        <w:rPr>
          <w:rFonts w:ascii="Times New Roman CYR" w:hAnsi="Times New Roman CYR" w:cs="Times New Roman CYR"/>
          <w:kern w:val="0"/>
        </w:rPr>
        <w:t>ього строку дiї договору. Страховi премiї за договорами, переданими у перестрахування, визнаються витратами вiдповiдно до характеру наданого перестрахування протягом перiоду вiдповiдальностi.</w:t>
      </w:r>
    </w:p>
    <w:p w14:paraId="3DFA30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220D4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Розiрвання договорiв страхування </w:t>
      </w:r>
    </w:p>
    <w:p w14:paraId="008D216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147841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Договори страхування можуть бути розiрванi, якщо є об'єктивний доказ того, що страхувальник не прагне або не може виплачувати страхову премiю. Розiрвання договорiв впливає в основному на договори страхування, вiдповiдно до яких страхова премiя виплачується частинами протягом всього термiну дiї договору страхування. Розiрвання договорiв вiдображається у фiнансовiй звiтностi в розмiрi страхових премiй.</w:t>
      </w:r>
    </w:p>
    <w:p w14:paraId="6FA298F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BD2BBF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Страховi виплати </w:t>
      </w:r>
    </w:p>
    <w:p w14:paraId="6E816E7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67771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Страховi виплати вiдображаються у Звiтi про фiнансовi результати у перiодi, в якому вони нарахованi.</w:t>
      </w:r>
    </w:p>
    <w:p w14:paraId="5F3C6E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C7A8B9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Резерви належних виплат становлять сукупну оцiнку граничних збиткiв та включають в себе резерви заявлених, але не виплачених збиткiв, а також резерв понесених, але не заявлених збиткiв. Використовуванi методи й розрахунковi оцiнки страхових виплат переглядаються на регулярнiй основi.</w:t>
      </w:r>
    </w:p>
    <w:p w14:paraId="744A1C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A2457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виплати й витрати на врегулювання збиткiв вiдображаються у складi доходiв або витрат на пiдставi оцiнки зобов'язання перед застрахованою особою чи третiми особами, на яких поширюються дiї страховика.</w:t>
      </w:r>
    </w:p>
    <w:p w14:paraId="3F4FDF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63ED9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резерви</w:t>
      </w:r>
    </w:p>
    <w:p w14:paraId="641857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4D91D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страхових резервiв iз страхування життя здiйснюється Страховиком згiдно з Положенням про формування резервiв iз страхування життя вiд 24.06.2011 р., зi змiнами та доповненнями: № 1 вiд 27.12.2016 р., № 2 вiд 29.06.2017 р., розробленим вiдповiдно до Методики формування резервiв iз страхування життя, затвердженої Розпорядженням Державної комiсiї з регулювання ринкiв фiнансових послуг України вiд 27.01.2004 р. № 24, iз змiнами, внесеними згiдно з Розпорядженням Державної комiсiї з регулювання ринкiв</w:t>
      </w:r>
      <w:r>
        <w:rPr>
          <w:rFonts w:ascii="Times New Roman CYR" w:hAnsi="Times New Roman CYR" w:cs="Times New Roman CYR"/>
          <w:kern w:val="0"/>
        </w:rPr>
        <w:t xml:space="preserve"> фiнансових послуг вiд 01.03.2011 р. № 110, Розпорядженням Нацiональної комiсiї, що здiйснює державне регулювання у сферi ринкiв фiнансових послуг вiд 27.11.2012 р. № 2421 та вiд 04.02.2016 р. № 295.</w:t>
      </w:r>
    </w:p>
    <w:p w14:paraId="683F48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ED74F8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математичних резервiв здiйснюється окремо за кожним чинним на звiтну дату договором. Загальна величина математичного резерву дорiвнює сумi резервiв, розрахованих окремо за кожним договором.</w:t>
      </w:r>
    </w:p>
    <w:p w14:paraId="051212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16D131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Якщо умовами Договору страхування передбачено право Страхувальника в майбутньому вибрати спосiб виконання Страховиком зобов'язань за Договором (здiйснити одноразову страхову виплату у разi досягнення Застрахованою особою визначеного Договором вiку чи виплату ануїтету, змiнити перiодичнiсть виплати ануїтету тощо), то для розрахунку резервiв використовується варiант, за яким актуарна вартiсть майбутнiх страхових виплат бiльша.</w:t>
      </w:r>
    </w:p>
    <w:p w14:paraId="7082695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61119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дати, наступнi за днем закiнчення строку дiї Договору страхування, математичний резерв уважається рiвним нулю.</w:t>
      </w:r>
    </w:p>
    <w:p w14:paraId="6905B8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B76AE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Сума страхових резервiв за договорами довгострокового страхування життя i пенсiйного страхування в межах недержавного пенсiйного забезпечення та сума страхових резервiв за iншими договорами страхування життя розраховуються окремо.</w:t>
      </w:r>
    </w:p>
    <w:p w14:paraId="32FFE23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D9557D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резерви формуються в тiй валютi страхування, в якiй визначенi зобов'язання сторiн за Договором страхування.</w:t>
      </w:r>
    </w:p>
    <w:p w14:paraId="05582F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31670D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резерву нетто-премiй на страхову рiчницю здiйснюється проспективно - як рiзниця мiж актуарною вартiстю потоку майбутнiх страхових виплат (без врахування бонусiв) та актуарною вартiстю потоку майбутнiх страхових нетто-премiй.</w:t>
      </w:r>
    </w:p>
    <w:p w14:paraId="2EF2E6D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78F2C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Резерви нетто-премiй за Договорами страхування розраховуються шляхом множення величини страхової суми та (або) величини щорiчної додаткової пенсiї (рiчної виплати ануїтету), яка була передбачена Договором при його укладаннi, на вiдповiднi величини резервiв нетто-премiй, визначенi на одиницю страхової суми та (або) на одиницю щорiчної додаткової пенсiї (на одиницю рiчної виплати ануїтету) згiдно з наведеними у цьому роздiлi формулами.</w:t>
      </w:r>
    </w:p>
    <w:p w14:paraId="0AB405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74704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Загальний розмiр резерву нетто-премiй за Договором страхування дорiвнює сумi резервiв нетто-премiй за всiма страховими ризиками кожної Застрахованої особи, вiдносно яких цей Договiр є чинним на дату розрахунку резерву нетто-премiй.</w:t>
      </w:r>
    </w:p>
    <w:p w14:paraId="3A82185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BEC07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 бонусiв оцiнюється як актуарна вартiсть додаткових зобов'язань страховика.</w:t>
      </w:r>
    </w:p>
    <w:p w14:paraId="18ECD54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0BDA9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 витрат на ведення справи не формується та вважається рiвним нулю.</w:t>
      </w:r>
    </w:p>
    <w:p w14:paraId="170D34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0AE39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 вирiвнювання розраховується у разi, якщо при розрахунку математичних резервiв за договором актуарна вартiсть потоку майбутнiх страхових нетто-премiй перевищує 97 вiдсоткiв вiд актуарної вартостi потоку майбутнiх страхових брутто-премiй, яка обчислюється на базисi розрахунку резервiв, та дорiвнює величинi такого перевищення. В iншому разi резерв вирiвнювання за договором не формується, а його величина вважається рiвною нулю.</w:t>
      </w:r>
    </w:p>
    <w:p w14:paraId="66E9EF2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787E5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Математичний резерв на звiтну дату, що не збiгається зi страховою рiчницею Договору, розраховується методом iнтерполяцiї мiж розмiрами математичних резервiв на найближчi страховi рiчницi.</w:t>
      </w:r>
    </w:p>
    <w:p w14:paraId="738442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3F211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Величина резерву заявлених, але неврегульованих збиткiв визначається у сумарному розмiрi не сплачених на звiтну дату грошових сум, що мають бути виплаченi:</w:t>
      </w:r>
    </w:p>
    <w:p w14:paraId="68A555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9D300B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у зв'язку зi страховими випадками, про факт настання яких заявлено Страховику у встановленому законодавством та Договором порядку. У цьому разi за кожним Договором страхування життя резерв складається iз сумарного розмiру таких виплат за цим Договором, щодо яких Страховик отримав заяву, але не прийняв рiшення щодо виплати або прийняв рiшення здiйснити виплату, але не здiйснив цю виплату на дату розрахунку резерву; </w:t>
      </w:r>
    </w:p>
    <w:p w14:paraId="1ECF56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при настаннi термiнiв здiйснення виплат ануїтету, за якими (термiнами) згiдно з умовами Договору не вимагається заява на виплату. У цьому разi за кожним Договором страхування життя резерв складається з сумарного розмiру таких виплат, якi Страховик мав сплатити на звiтну дату згiдно з умовами Договору, але не сплатив;</w:t>
      </w:r>
    </w:p>
    <w:p w14:paraId="133C2D4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у зв'язку з достроковим припиненням дiї Договору або iз змiнами умов Договору. У цьому разi за кожним Договором страхування життя на звiтну дату резерв складається з сумарного розмiру розрахованих але невиплачених викупних сум;</w:t>
      </w:r>
    </w:p>
    <w:p w14:paraId="06A179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у зв'язку з настанням страхового випадку, який стався протягом звiтного перiоду або попереднiх перiодiв, коли про факт дожиття застрахованої особи не заявлено на звiтну дату. У цьому разi за кожним Договором страхування життя резерв складається iз сумарного розмiру таких виплат, якi Страховик мав сплатити на звiтну дату згiдно з умовами Договору, але не сплатив.</w:t>
      </w:r>
    </w:p>
    <w:p w14:paraId="7BBBF76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50F1C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резерву збиткiв, якi виникли, але не заявленi, здiйснюється iз застосуванням ланцюгового методу (Chain Ladder). Для розрахунку ланцюговим методом беруться данi не менше нiж за 12 перiодiв (кварталiв) сплати (розвитку) збиткiв.</w:t>
      </w:r>
    </w:p>
    <w:p w14:paraId="5FB540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врахування незаробленої частини нарахованої нетто-премiї при розрахунку резерву нетто-премiї (модифiкованого резерву нетто-премiї) застосовується такий метод iнтерполяцiї:</w:t>
      </w:r>
    </w:p>
    <w:p w14:paraId="477C07D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C46CB2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в момент сплати (нарахування) чергової премiї згiдно з графiком сплати страхових премiй, резерв нетто-премiї (модифiкований резерв нетто-премiї) збiльшується на розмiр вiдповiдної нарахованої нетто-премiї;</w:t>
      </w:r>
    </w:p>
    <w:p w14:paraId="42EB98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 </w:t>
      </w:r>
      <w:r>
        <w:rPr>
          <w:rFonts w:ascii="Times New Roman CYR" w:hAnsi="Times New Roman CYR" w:cs="Times New Roman CYR"/>
          <w:kern w:val="0"/>
        </w:rPr>
        <w:tab/>
        <w:t>в перiод мiж двома черговими моментами сплати (нарахування) премiї згiдно з графiком, розмiр нетто-премiї, на який збiльшився резерв у момент останнього нарахування премiї, зменшується пропорцiйно часу, що залишився до моменту наступного нарахування премiї.</w:t>
      </w:r>
    </w:p>
    <w:p w14:paraId="6333A2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EDABDF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Частка перестраховика в резервах довгострокових зобов'язань розраховується проспективно на базисi розрахунку резервiв, виходячи з частки вiдповiдальностi за Договором страхування, що передана в перестрахування, або ретроспективно, на основi фактичного розмiру базової страхової премiї за Договором перестрахування. </w:t>
      </w:r>
    </w:p>
    <w:p w14:paraId="38B61F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DDC52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разi використання проспективного методу, частка перестраховика в резервi за перестрахованим ризиком розраховується як добуток частки вiдповiдальностi перестраховика за цим ризиком на суму (модифiкованого) резерву нетто-премiй за цим ризиком.</w:t>
      </w:r>
    </w:p>
    <w:p w14:paraId="486602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C6E35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разi використання ретроспективного методу, частка перестраховика в резервi за перестрахованим ризиком розраховується як добуток перестрахової премiї, нарахованої за цим ризиком та вiдношення строку дiї перестрахового захисту, що залишився на дату розрахунку, до всього строку дiї перестрахового захисту, за який перестрахова премiя була нарахована.</w:t>
      </w:r>
    </w:p>
    <w:p w14:paraId="7AF59F6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BF19D1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Частка перестраховика в резервах заявлених, але не врегульованих збиткiв розраховується за кожним ризиком, що переданий в перестрахування, i дорiвнює добутку частки вiдповiдальностi, що була передана в перестрахування за цим ризиком, та розмiру очiкуваної виплати.</w:t>
      </w:r>
    </w:p>
    <w:p w14:paraId="3F2477A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50F75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разi, якщо Договiр страхування, за яким формується резерв заявлених, але не врегульованих збиткiв, не задовольняє умови договору перестрахування, частка перестраховика за цим Договором дорiвнює нулю.</w:t>
      </w:r>
    </w:p>
    <w:p w14:paraId="6D15A0D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C812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Частка перестраховика в резервах збиткiв, якi виникли, але не заявленi, розраховується вiдповiдно до умов перестрахування, якi дiяли для кожного перiоду розвитку збиткiв.</w:t>
      </w:r>
    </w:p>
    <w:p w14:paraId="238AD83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0950F1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Перевiрка адекватностi зобов'язань </w:t>
      </w:r>
    </w:p>
    <w:p w14:paraId="1170DB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193E2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кожну звiтну дату Компанiя оцiнює, чи є її страховi зобов'язання адекватними. Для проведення Тесту на адекватнiсть резервiв довгострокових зобов'язань (математичних) розрахунки проводяться методом дисконтування грошових потокiв, застосовуються загальноприйнятi актуарнi методи та методи математичного моделювання комбiнованої збитковостi. При дисконтуваннi використовується ставка дохiдностi 4%.</w:t>
      </w:r>
    </w:p>
    <w:p w14:paraId="1168DE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Оцiнка смертностi, страхових виплат за додатковими ризиками та дострокового припинення договорiв страхування проводиться актуарними методами на основi таблицi смертностi (згiдно з Правилами страхування) та з урахуванням наявного досвiду Компанiї за страховим портфелем.</w:t>
      </w:r>
    </w:p>
    <w:p w14:paraId="7F26E33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Акцiонерний капiтал</w:t>
      </w:r>
    </w:p>
    <w:p w14:paraId="11E751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Викуп власних акцiй</w:t>
      </w:r>
    </w:p>
    <w:p w14:paraId="72212A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разi викупу Товариством власних акцiй сплачена сума, включаючи витрати, пов'язанi з цим викупом, вiдображається у фiнансовiй звiтностi як зменшення власного капiталу.</w:t>
      </w:r>
    </w:p>
    <w:p w14:paraId="7D644D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Дивiденди</w:t>
      </w:r>
    </w:p>
    <w:p w14:paraId="0C073E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Можливiсть Товариства повiдомляти й виплачувати дивiденди регулюється чинним законодавством України. Дивiденди за звичайними акцiями вiдображаються у фiнансовiй звiтностi як використання нерозподiленого прибутку в мiру їх оголошення.</w:t>
      </w:r>
    </w:p>
    <w:p w14:paraId="0D07C5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Визнання доходiв i витрат</w:t>
      </w:r>
    </w:p>
    <w:p w14:paraId="7E2801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Страховi премiї за договорами страхування (перестрахування) визнаються доходами в перiод початку дiї договорiв страхування (перестрахування) </w:t>
      </w:r>
      <w:r>
        <w:rPr>
          <w:rFonts w:ascii="Times New Roman CYR" w:hAnsi="Times New Roman CYR" w:cs="Times New Roman CYR"/>
          <w:kern w:val="0"/>
        </w:rPr>
        <w:lastRenderedPageBreak/>
        <w:t>вiдповiдно до договору страхування.</w:t>
      </w:r>
    </w:p>
    <w:p w14:paraId="5FBDE5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премiї за договорами страхування (перестрахування), термiн дiї яких 1 рiк i менше, та премiї, якi сплачуються частинами, визнаються доходами в повному обсязi незалежно вiд сплати чергових платежiв. Черговi платежi доходом не визнаються i є погашенням дебiторської заборгованостi страхувальника (перестрахувальника) зi сплати чергових страхових платежiв.</w:t>
      </w:r>
    </w:p>
    <w:p w14:paraId="132AC5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Витратами визнається або зменшення активiв, або збiльшення зобов'язань, що призводить до зменшення власного капiталу за умови, що такi витрати можуть бути достовiрно оцiненi. </w:t>
      </w:r>
    </w:p>
    <w:p w14:paraId="6AF83F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Фiнансовий результат формується в єдинiй облiковiй системi шляхом вiдображення доходiв i витрат вiдповiдного звiтного перiоду. Фiнансовий результат Товариства зменшується на суму нарахованого податку на прибуток, який розраховується за правилами податкового облiку.</w:t>
      </w:r>
    </w:p>
    <w:p w14:paraId="50B993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Податок на прибуток</w:t>
      </w:r>
    </w:p>
    <w:p w14:paraId="7A4B7B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Розрахунок податку на прибуток Товариства здiйснюється вiдповiдно до вимог Податкового кодексу України вiд 02.12.2010 р. № 2755-VI (далi - ПКУ): доходи вiд страхової дiяльностi оподатковуються за ставкою 3% вiд валової суми страхових премiй за укладеними договорами страхування (крiм договорiв страхування життя якi пiдпадають пiд 0%). Податок на прибуток вiд всiх видiв дiяльностi розраховується за ставкою 18% вiд суми прибутку до оподаткування за рiк. При цьому нарахований страховиком податок за ставкою 3% </w:t>
      </w:r>
      <w:r>
        <w:rPr>
          <w:rFonts w:ascii="Times New Roman CYR" w:hAnsi="Times New Roman CYR" w:cs="Times New Roman CYR"/>
          <w:kern w:val="0"/>
        </w:rPr>
        <w:t>зменшує прибуток до оподаткування такого страховика.</w:t>
      </w:r>
    </w:p>
    <w:p w14:paraId="3CC1F15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Сума податку на прибуток включає суму поточного податку за звiтний перiод i суму вiдстроченого податку. Вiдстроченi податковi активи та вiдстроченi податковi зобов'язання вiдображаються в Звiтi про фiнансовий стан статтями необоротних активiв або довгострокових зобов'язань.</w:t>
      </w:r>
    </w:p>
    <w:p w14:paraId="7754C88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Суттєвiсть</w:t>
      </w:r>
    </w:p>
    <w:p w14:paraId="0A9EFF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Кожна суттєва стаття наводиться у фiнансовiй звiтностi окремо, а несуттєвi статтi об'єднувати зi статтями, подiбними за характером або функцiями. Суттєвiсть статтi визначається її величиною i характером, що розглядається разом. </w:t>
      </w:r>
    </w:p>
    <w:p w14:paraId="10A96FF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Змiст та сума всiх суттєвих змiн в облiкових оцiнках розкритi в цих примiтках до фiнансової звiтностi.</w:t>
      </w:r>
    </w:p>
    <w:p w14:paraId="4F38AC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Межа суттєвостi для фiнансової звiтностi : </w:t>
      </w:r>
    </w:p>
    <w:p w14:paraId="4C2C27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Форма звiту</w:t>
      </w:r>
      <w:r>
        <w:rPr>
          <w:rFonts w:ascii="Times New Roman CYR" w:hAnsi="Times New Roman CYR" w:cs="Times New Roman CYR"/>
          <w:kern w:val="0"/>
        </w:rPr>
        <w:tab/>
        <w:t>Статi звiтностi</w:t>
      </w:r>
      <w:r>
        <w:rPr>
          <w:rFonts w:ascii="Times New Roman CYR" w:hAnsi="Times New Roman CYR" w:cs="Times New Roman CYR"/>
          <w:kern w:val="0"/>
        </w:rPr>
        <w:tab/>
        <w:t>Дiапазон суттєвостi</w:t>
      </w:r>
    </w:p>
    <w:p w14:paraId="54F3C0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w:t>
      </w:r>
      <w:r>
        <w:rPr>
          <w:rFonts w:ascii="Times New Roman CYR" w:hAnsi="Times New Roman CYR" w:cs="Times New Roman CYR"/>
          <w:kern w:val="0"/>
        </w:rPr>
        <w:tab/>
        <w:t>Баланс</w:t>
      </w:r>
      <w:r>
        <w:rPr>
          <w:rFonts w:ascii="Times New Roman CYR" w:hAnsi="Times New Roman CYR" w:cs="Times New Roman CYR"/>
          <w:kern w:val="0"/>
        </w:rPr>
        <w:tab/>
        <w:t>до 5% пiдсумку класу активiв, власного капiталу, класу зобов'язань</w:t>
      </w:r>
    </w:p>
    <w:p w14:paraId="263D07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w:t>
      </w:r>
      <w:r>
        <w:rPr>
          <w:rFonts w:ascii="Times New Roman CYR" w:hAnsi="Times New Roman CYR" w:cs="Times New Roman CYR"/>
          <w:kern w:val="0"/>
        </w:rPr>
        <w:tab/>
        <w:t>Звiт про фiнансовi результати</w:t>
      </w:r>
      <w:r>
        <w:rPr>
          <w:rFonts w:ascii="Times New Roman CYR" w:hAnsi="Times New Roman CYR" w:cs="Times New Roman CYR"/>
          <w:kern w:val="0"/>
        </w:rPr>
        <w:tab/>
        <w:t xml:space="preserve">до 5% суми чистого доходу вiд реалiзацiї продукцiї (товарiв, робiт, послуг) </w:t>
      </w:r>
    </w:p>
    <w:p w14:paraId="0E5F78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w:t>
      </w:r>
      <w:r>
        <w:rPr>
          <w:rFonts w:ascii="Times New Roman CYR" w:hAnsi="Times New Roman CYR" w:cs="Times New Roman CYR"/>
          <w:kern w:val="0"/>
        </w:rPr>
        <w:tab/>
        <w:t>Звiт про рух грошових коштiв</w:t>
      </w:r>
      <w:r>
        <w:rPr>
          <w:rFonts w:ascii="Times New Roman CYR" w:hAnsi="Times New Roman CYR" w:cs="Times New Roman CYR"/>
          <w:kern w:val="0"/>
        </w:rPr>
        <w:tab/>
        <w:t>до 5% суми чистого руху грошових коштiв вiд операцiйної дiяльностi</w:t>
      </w:r>
    </w:p>
    <w:p w14:paraId="7F90CE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55954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w:t>
      </w:r>
      <w:r>
        <w:rPr>
          <w:rFonts w:ascii="Times New Roman CYR" w:hAnsi="Times New Roman CYR" w:cs="Times New Roman CYR"/>
          <w:kern w:val="0"/>
        </w:rPr>
        <w:tab/>
        <w:t>Звiт про власний капiтал</w:t>
      </w:r>
      <w:r>
        <w:rPr>
          <w:rFonts w:ascii="Times New Roman CYR" w:hAnsi="Times New Roman CYR" w:cs="Times New Roman CYR"/>
          <w:kern w:val="0"/>
        </w:rPr>
        <w:tab/>
        <w:t>до 5% розмiру власного капiталу пiдприємства</w:t>
      </w:r>
    </w:p>
    <w:p w14:paraId="7B4C4A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8CF8FF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Операцiї з пов'язаними сторонами</w:t>
      </w:r>
    </w:p>
    <w:p w14:paraId="0DD2A6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55A0A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Пов'язаними сторонами Компанiї вважаються: </w:t>
      </w:r>
    </w:p>
    <w:p w14:paraId="4A561E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4D52D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пiдприємства i фiзичнi особи, якi безпосередньо або опосередковано здiйснюють контроль Компанiї або суттєво впливають на її дiяльнiсть, а також близькi члени родини таких фiзичних осiб.</w:t>
      </w:r>
    </w:p>
    <w:p w14:paraId="614792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1D4F4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процесi оцiнки операцiй мiж пов'язаними сторонами Компанiя використовує метод порiвнюваної неконтрольованої цiни (застосовується цiна, яка визначається за цiною на аналогiчну готову продукцiю (товари, роботи, послуги), що реалiзується не пов'язаному з продавцем покупцевi за звичайних умов дiяльностi).</w:t>
      </w:r>
    </w:p>
    <w:p w14:paraId="31A8B0A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F8CC6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1.5. </w:t>
      </w:r>
      <w:r>
        <w:rPr>
          <w:rFonts w:ascii="Times New Roman CYR" w:hAnsi="Times New Roman CYR" w:cs="Times New Roman CYR"/>
          <w:kern w:val="0"/>
        </w:rPr>
        <w:tab/>
        <w:t>ЗАСТОСУВАННЯ МСФЗ</w:t>
      </w:r>
    </w:p>
    <w:p w14:paraId="469A08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E4AC3A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01 сiчня 2023 року набрав чинностi новий МСФЗ (IFRS) 17 "Страховi контракти" (далi - МСФЗ 17). </w:t>
      </w:r>
    </w:p>
    <w:p w14:paraId="35401D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77B1120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МСФЗ 17 прийнятий на замiну МСФЗ 4 та спрямований на пiдвищення прозоростi в облiку страхових контрактiв. МСФЗ 17 встановлює принципи визнання, оцiнки, подання та розкриття iнформацiї за страховими контрактами. Ця iнформацiя використовується користувачами фiнансової звiтностi для оцiнки впливу таких контрактiв на фiнансове становище, фiнансовi результати та грошовi потоки суб'єкта господарювання. Перехiд на МСФЗ 17 здiйснюється ретроспективно. </w:t>
      </w:r>
    </w:p>
    <w:p w14:paraId="5F0E58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застосовує МСФЗ 17 до договорiв фiнансової гарантiї, крiм тих випадкiв, коли емiтент прямо заявив про те, що вважає такi договори страховими контрактами й використовує облiк, що застосовується до страхових контрактiв; страхових контрактiв, за якими Товариство є держателем страхового полiсу, якщо такi контракти не є при цьому контрактами перестрахування, що утримуються (пункт 7 МСФЗ 17).</w:t>
      </w:r>
    </w:p>
    <w:p w14:paraId="44779F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Згiдно вимог МСФЗ 17 Товариством проведено:</w:t>
      </w:r>
    </w:p>
    <w:p w14:paraId="3C3EF0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класифiкацiя страхових та перестрахових контрактiв;</w:t>
      </w:r>
    </w:p>
    <w:p w14:paraId="5595DC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вiдокремлення компонентiв, якi не є страховими;</w:t>
      </w:r>
    </w:p>
    <w:p w14:paraId="7144264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визначення прибутковостi страхових контрактiв пiд час первiсного визнання зокрема, вiдокремлення обтяжливих страхових контрактiв;</w:t>
      </w:r>
    </w:p>
    <w:p w14:paraId="5E7D0C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проведено агрегування контрактiв: за рiвнем ризику, прибутковiстю, датою випуску та iншими вимогами стандарту.</w:t>
      </w:r>
    </w:p>
    <w:p w14:paraId="7E5CC4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Товариство застосовує МСФЗ 17 до:</w:t>
      </w:r>
    </w:p>
    <w:p w14:paraId="47E0F4C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випущених ним договорiв страхування, включаючи договори перестрахування;</w:t>
      </w:r>
    </w:p>
    <w:p w14:paraId="1C1B85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утримуваних ним договорiв перестрахування;</w:t>
      </w:r>
    </w:p>
    <w:p w14:paraId="66DC9D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випущених ним iнвестицiйних контрактiв з умовами дискрецiйної участi, за умови, що суб'єкт господарювання також випускає договори страхування.</w:t>
      </w:r>
    </w:p>
    <w:p w14:paraId="38A413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до МСБО (IAS) 1 "Подання фiнансової звiтностi" та до Положення з практики МСФЗ 2 "Здiйснення суджень про суттєвiсть"</w:t>
      </w:r>
    </w:p>
    <w:p w14:paraId="09956CA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спрямованi на допомогу суб'єктам господарювання у забезпеченнi розкриття облiкових полiтик, якi є бiльш корисними для користувачiв, зокрема:  замiнено вимогу щодо розкриття значних облiкових полiтик на вимогу розкривати суттєву iнформацiю про облiкову полiтику; надано роз'яснення, яким чином суб'єкти господарювання мають застосовувати концепцiю "суттєвостi" у процесi прийняття рiшень щодо розкриття облiкових полiтик.</w:t>
      </w:r>
    </w:p>
    <w:p w14:paraId="447567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думку, управлiнського персоналу, iнформацiя є суттєвою, якщо вiд її пропуску, викривлення або приховування можна обгрунтовано очiкувати вплив на рiшення, якi приймають основнi користувачi фiнансової звiтностi загального призначення, складеної на основi тiєї фiнансової звiтностi, яка надає фiнансову iнформацiю про конкретну звiтнiсть суб'єкта господарювання. </w:t>
      </w:r>
    </w:p>
    <w:p w14:paraId="670431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Поправки до МСБО 1 "Подання фiнансової звiтностi" застосовуються до рiчних перiодiв, що починаються 1 сiчня 2023. Цi поправки мають вплив на розкриття Товариством iнформацiї в фiнансовiй звiтностi. </w:t>
      </w:r>
    </w:p>
    <w:p w14:paraId="26F9E98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до МСБО (IAS) 8 "Облiковi полiтики, змiни у бухгалтерських оцiнках та помилки" - "Визначення облiкових оцiнок"</w:t>
      </w:r>
    </w:p>
    <w:p w14:paraId="5C812F7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поправках пояснюється вiдмiннiсть мiж змiнами в бухгалтерських оцiнках та змiнами в облiковiй полiтицi i виправленням помилок. Поправки роз'яснюють, що: </w:t>
      </w:r>
    </w:p>
    <w:p w14:paraId="6305F9D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змiни в облiкових оцiнках, що є наслiдком нової iнформацiї або нових розробок, не є виправленням помилок; </w:t>
      </w:r>
    </w:p>
    <w:p w14:paraId="774F57C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результати змiни вхiдних даних або методики оцiнки є змiнами в облiкових оцiнках, якщо вони не випливають iз виправлення помилок минулих перiодiв; </w:t>
      </w:r>
    </w:p>
    <w:p w14:paraId="39E6FB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змiни в облiкових оцiнках можуть впливати лише на прибутки/збитки поточного перiоду або поточного та майбутнього перiодiв. </w:t>
      </w:r>
    </w:p>
    <w:p w14:paraId="6D3DF8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Методи оцiнювання включають методи наближеного оцiнювання (наприклад, методи, якi застосовуються для оцiнки резерву пiд збитки для </w:t>
      </w:r>
      <w:r>
        <w:rPr>
          <w:rFonts w:ascii="Times New Roman CYR" w:hAnsi="Times New Roman CYR" w:cs="Times New Roman CYR"/>
          <w:kern w:val="0"/>
        </w:rPr>
        <w:lastRenderedPageBreak/>
        <w:t>очiкуваних кредитних збиткiв пiд час застосування МСФЗ 9) та методи вартiсного оцiнювання (наприклад, методи, якi застосовуються для оцiнки справедливої вартостi активу або зобов'язання пiд час застосування МСФЗ 13).</w:t>
      </w:r>
    </w:p>
    <w:p w14:paraId="7D68F3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Змiни в облiкових оцiнках внаслiдок появи нової iнформацiї або розвитку подiй не є виправленням помилки. Крiм того, результати змiни вхiдних даних або методики оцiнки є змiнами в облiкових оцiнках, якщо вони не випливають iз коригувань помилок минулих перiодiв. </w:t>
      </w:r>
    </w:p>
    <w:p w14:paraId="3E4AEB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Поправки застосованi до рiчних звiтних перiодiв, що починаються 1 сiчня 2023 року, i застосовуються до змiн в облiковiй полiтицi та змiн до бухгалтерських оцiнок, що вiдбулися на дату початку зазначеного перiоду. </w:t>
      </w:r>
    </w:p>
    <w:p w14:paraId="5B3B4F9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в облiкових оцiнках не вплинули на прибутки/збитки поточного перiоду або поточного та майбутнього перiодiв.</w:t>
      </w:r>
    </w:p>
    <w:p w14:paraId="0D687B9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до МСБО (IAS) 12 "Податки на прибуток", документ "Вiдстрочений податок, пов'язаний з активами та зобов'язаннями, що виникає в наслiдок однiєї операцiї";</w:t>
      </w:r>
    </w:p>
    <w:p w14:paraId="7C5A2A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до МСБО  12 "Податки на прибуток" уточнюють, як повиннi враховуватись вiдстроченi податки на такi операцiї, як оренда та зобов'язання, пов'язаннi з виведенням з експлуатацiї.</w:t>
      </w:r>
    </w:p>
    <w:p w14:paraId="2A26A1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Зокрема, Товариство визнаватиме вiдстрочений податковий актив та вiдстрочене податкове зобов'язання щодо тимчасових рiзниць, що виникають пiд час первiсного визнання оренди та зобов'язання, пов'язаннi з виведенням з експлуатацiї.</w:t>
      </w:r>
    </w:p>
    <w:p w14:paraId="270F7E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Вплив нововведення на фiнансову звiтнiсть вiдсутнiй, через вiдсутнiсть у звiтному перiодi об'єктiв довгострокової оренди.</w:t>
      </w:r>
    </w:p>
    <w:p w14:paraId="18657E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до МСБО (IAS) 12 "Податки на прибуток"-"Мiжнародна податкова реформа -типовi правила Другого компонента". Змiни визначають особливостi облiку та розкриття iнформацiї щодо податкiв на прибуток, що виникають внаслiдок впровадження податкового законодавства, яке розроблене на основi типових правил Другого компонента, опублiкованих Органiзацiєю економiчного спiвробiтництва та розвитку (далi - ОЕСР).</w:t>
      </w:r>
    </w:p>
    <w:p w14:paraId="08C2BE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дату звiтностi визначити вплив цих нововведень не вбачається за можливе.</w:t>
      </w:r>
    </w:p>
    <w:p w14:paraId="3206EF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4F1E3C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Стандарти МСФЗ S1 та МСФЗ S2 набувають чинностi для рiчних звiтних перiодiв, що починаються з 1 сiчня 2024 року. Цi стандарти встановлюють вимоги до розкриття iнформацiї про ризики та можливостi, пов'язанi зi сталим розвитком та змiною клiмату, якi можуть вплинути на грошовi потоки суб'єкта господарювання, доступ до фiнансування або вартiсть капiталу в короткостроковiй, середньостроковiй або довгостроковiй перспективi.  </w:t>
      </w:r>
    </w:p>
    <w:p w14:paraId="560EFB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Директива 2013/34/ЄС iмплементована в законодавство України шляхом внесення змiн до Закону України "Про бухгалтерський облiк та фiнансову звiтнiсть в Українi", а Директива 2006/43/ЄС - шляхом внесення змiн до Закону України "Про аудит фiнансової звiтностi та аудиторську дiяльнiсть" вiдповiдно.</w:t>
      </w:r>
    </w:p>
    <w:p w14:paraId="17E3BE8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Першi звiти про сталий розвиток вiдповiдно до Директиви 2022/2464/ЄС мають бути поданi до фiнансової звiтностi за  фiнансовий рiк який закiнчується 31 грудня 2024 року. </w:t>
      </w:r>
    </w:p>
    <w:p w14:paraId="17118F4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Управлiнський персонал має впевненiсть в наявностi можливостi до їх запровадження.</w:t>
      </w:r>
    </w:p>
    <w:p w14:paraId="17B138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1.6. </w:t>
      </w:r>
      <w:r>
        <w:rPr>
          <w:rFonts w:ascii="Times New Roman CYR" w:hAnsi="Times New Roman CYR" w:cs="Times New Roman CYR"/>
          <w:kern w:val="0"/>
        </w:rPr>
        <w:tab/>
      </w:r>
      <w:r>
        <w:rPr>
          <w:rFonts w:ascii="Times New Roman CYR" w:hAnsi="Times New Roman CYR" w:cs="Times New Roman CYR"/>
          <w:kern w:val="0"/>
        </w:rPr>
        <w:tab/>
        <w:t>УПРАВЛIННЯ СТРАХОВИМ РИЗИКОМ</w:t>
      </w:r>
    </w:p>
    <w:p w14:paraId="04E1E2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8BBDC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Цiлi й полiтики управлiння ризиками з метою мiнiмiзацiї страхового ризику</w:t>
      </w:r>
    </w:p>
    <w:p w14:paraId="0A16B3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3E7B1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процесi здiйснення основної страхової дiяльностi Компанiя бере на себе ризик виникнення збиткiв вiд фiзичних осiб i органiзацiй, якi прямо пiдданi ризику. Беручи на себе ризики, Компанiя пiддається невизначеностi щодо моменту виплати страхового вiдшкодування та розмiру збитку за умовами договорiв страхування. Основний страховий ризик - це ризик того, що частота й розмiр збиткiв будуть перевищувати очiкування. Страховi випадки за своїм характером є випадковими, i їх фактична кiлькiсть i величина протягом о</w:t>
      </w:r>
      <w:r>
        <w:rPr>
          <w:rFonts w:ascii="Times New Roman CYR" w:hAnsi="Times New Roman CYR" w:cs="Times New Roman CYR"/>
          <w:kern w:val="0"/>
        </w:rPr>
        <w:t xml:space="preserve">дного будь-якого року можуть вiдрiзнятися вiд оцiнок, зроблених за допомогою статистичних методiв. Компанiя також пiддана ринковому ризику у зв'язку зi здiйсненням страхової й iнвестицiйної дiяльностi. Компанiя управляє страховим ризиком за допомогою використання встановлених статистичних методiв, перестрахування концентрацiї ризику, встановлення лiмiтiв з андеррайтингу, затвердження процедур схвалення угод, розробки правил встановлення страхових тарифiв, а також </w:t>
      </w:r>
      <w:r>
        <w:rPr>
          <w:rFonts w:ascii="Times New Roman CYR" w:hAnsi="Times New Roman CYR" w:cs="Times New Roman CYR"/>
          <w:kern w:val="0"/>
        </w:rPr>
        <w:lastRenderedPageBreak/>
        <w:t xml:space="preserve">здiйснення монiторингу складних питань, якi </w:t>
      </w:r>
      <w:r>
        <w:rPr>
          <w:rFonts w:ascii="Times New Roman CYR" w:hAnsi="Times New Roman CYR" w:cs="Times New Roman CYR"/>
          <w:kern w:val="0"/>
        </w:rPr>
        <w:t>виникають.</w:t>
      </w:r>
    </w:p>
    <w:p w14:paraId="0AA1F8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2BB25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Страховиком контролюються такi класи ризикiв:</w:t>
      </w:r>
    </w:p>
    <w:p w14:paraId="609B689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50813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Андерайтинговi ризики - ризики, пов'язанi з укладанням договорiв страхування:</w:t>
      </w:r>
    </w:p>
    <w:p w14:paraId="61DAE11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4F962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збiльшення рiвня смертностi - ризик, викликаний коливанням показникiв смертностi, якщо зростання показникiв смертностi призводить до зростання вартостi зобов'язань Компанiї;</w:t>
      </w:r>
    </w:p>
    <w:p w14:paraId="0E32955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збiльшення тривалостi життя - ризик, викликаний коливанням показникiв смертностi, у разi, якщо спадання показникiв смертностi призводить до зростання вартостi зобов'язань Компанiї;</w:t>
      </w:r>
    </w:p>
    <w:p w14:paraId="4598DD1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непрацездатностi та шкоди здоров'ю - ризик, викликаний коливанням показникiв тимчасової втрати працездатностi, встановлення iнвалiдностi або отримання травматичних ушкоджень та/або функцiональних розладiв здоров'я;</w:t>
      </w:r>
    </w:p>
    <w:p w14:paraId="146585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збiльшення витрат на ведення справи - ризик, викликаний зростанням видаткiв, пов'язаних з обслуговуванням договорiв страхування та перестрахування;</w:t>
      </w:r>
    </w:p>
    <w:p w14:paraId="15B4064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катастроф - ризик, викликаний неточнiстю прогнозiв настання надзвичайних подiй та оцiнок їх наслiдкiв;</w:t>
      </w:r>
    </w:p>
    <w:p w14:paraId="36621C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розiрвання договорiв - ризик, викликаний коливаннями спiввiдношення кiлькостi достроково припинених договорiв страхування до загальної кiлькостi укладених договорiв.</w:t>
      </w:r>
    </w:p>
    <w:p w14:paraId="6CD9F58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0AD5D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Ринковi ризики - ризики, пов'язанi iз зовнiшнiм середовищем i ринками, на яких працює Компанiя, якi можуть призвести до змiни ринкової вартостi фiнансових iнструментiв або змiни в ринкових iндикаторах, що можуть вплинути на величину активiв та/або зобов'язань Страховика:</w:t>
      </w:r>
    </w:p>
    <w:p w14:paraId="15D815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DD0695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Ризик iнвестицiй в акцiї - ризик, пов'язаний iз чутливiстю вартостi активiв, зобов'язань та фiнансових iнструментiв страховика до коливання ринкової вартостi акцiй; </w:t>
      </w:r>
    </w:p>
    <w:p w14:paraId="5F654F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процентної ставки - ризик, пов'язаний iз чутливiстю вартостi активiв та зобов'язань страховика до коливання вартостi позикових коштiв;</w:t>
      </w:r>
    </w:p>
    <w:p w14:paraId="4C95DF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Валютний ризик - ризик, пов'язаний iз чутливiстю вартостi активiв та зобов'язань страховика до коливання курсiв обмiну валют;</w:t>
      </w:r>
    </w:p>
    <w:p w14:paraId="2C9CCD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спреду - ризик, пов'язаний iз чутливiстю активiв та зобов'язань страховика до коливання рiзницi в доходностi мiж облiгацiями пiдприємств та державних облiгацiй України з тим самим (або близьким) термiном до погашення;</w:t>
      </w:r>
    </w:p>
    <w:p w14:paraId="1693C8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Майновий ризик - ризик, пов'язаний iз чутливiстю вартостi активiв та зобов'язань страховика до коливання ринкових цiн на нерухомiсть;</w:t>
      </w:r>
    </w:p>
    <w:p w14:paraId="3E721A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ринкової концентрацiї - ризик, пов'язаний iз недостатньою диверсифiкованiстю портфеля активiв або у зв'язку зi значним впливом одного або кiлькох емiтентiв цiнних паперiв на стан активiв.</w:t>
      </w:r>
    </w:p>
    <w:p w14:paraId="3A659E7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77CB1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Ризики дефолту контрагента - ризик неспроможностi контрагента (перестраховика, боржника та будь-якого дебiтора) виконати взятi на себе будь-якi договiрнi зобов'язання перед страховиком:</w:t>
      </w:r>
    </w:p>
    <w:p w14:paraId="35B1F11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67AA9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невиконання своїх зобов'язань Страхувальником/Перестрахувальником - ризик невиконання Страхувальника/Перестрахувальника взятих на себе будь-яких договiрних зобов'язань перед Компанiєю;</w:t>
      </w:r>
    </w:p>
    <w:p w14:paraId="2ABE577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невиконання своїх зобов'язань Перестраховиком - ризик невиконання Перестраховиком взятих на себе будь-яких договiрних зобов'язань перед Компанiєю;</w:t>
      </w:r>
    </w:p>
    <w:p w14:paraId="632EAEF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 </w:t>
      </w:r>
      <w:r>
        <w:rPr>
          <w:rFonts w:ascii="Times New Roman CYR" w:hAnsi="Times New Roman CYR" w:cs="Times New Roman CYR"/>
          <w:kern w:val="0"/>
        </w:rPr>
        <w:tab/>
        <w:t>Ризик невиконання своїх зобов'язань iнших договiрних сторiн - ризик невиконання iнших договiрних сторiн взятих на себе будь-яких договiрних зобов'язань перед Компанiєю.</w:t>
      </w:r>
    </w:p>
    <w:p w14:paraId="10FC580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BC929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Операцiйнi ризики - ризики фiнансових втрат страховика, що виникають через недолiки управлiння, процесiв оброблення iнформацiї, контрольованостi, безперервностi роботи, надiйностi технологiй, а також помилки та несанкцiонованi дiї персоналу:</w:t>
      </w:r>
    </w:p>
    <w:p w14:paraId="2F52BF1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4793B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персоналу - ризик фiнансових втрат Компанiї, що виникає через помилки та несанкцiонованi дiї персоналу;</w:t>
      </w:r>
    </w:p>
    <w:p w14:paraId="09E9CA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Iнформацiйний ризик - ризик фiнансових втрат страховика, що виникає в результатi недолiкiв надiйностi технологiй;</w:t>
      </w:r>
    </w:p>
    <w:p w14:paraId="690FF40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Органiзацiйний ризик - ризик фiнансових втрат страховика, що виникає через недолiки управлiння, недосконалiсть бiзнес процесiв;</w:t>
      </w:r>
    </w:p>
    <w:p w14:paraId="2412AE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фiзичного втручання - ризик пошкодження матерiальних активiв у результатi стихiйних лих, пожеж, крадiжки, тероризму та iншого.</w:t>
      </w:r>
    </w:p>
    <w:p w14:paraId="7BB5AB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37E13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Правовi ризики - ризики втрат у результатi недотримання закону, ризик судових розглядiв.</w:t>
      </w:r>
    </w:p>
    <w:p w14:paraId="16CC159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E643C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Ризики учасника фiнансової групи - ризики негативного впливу на фiнансовий стан страховика-учасника фiнансової групи, викликаний погiршенням фiнансового стану iншого учасника групи, до складу якої входить страховик.</w:t>
      </w:r>
    </w:p>
    <w:p w14:paraId="5665AF1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5FBD5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 лiквiдностi - ризик неспроможностi страховика реалiзувати активи для погашення зобов'язань точно на момент настання строку погашення.</w:t>
      </w:r>
    </w:p>
    <w:p w14:paraId="794549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216FB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Репутацiйний ризик - ризик фiнансових втрат страховика, що виникає через недовiру ринку до якостi послуг Компанiї.</w:t>
      </w:r>
    </w:p>
    <w:p w14:paraId="76B3B2E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6E24F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Керiвництво постiйно монiторить дотримання iнструкцiй з андерайтингу.</w:t>
      </w:r>
    </w:p>
    <w:p w14:paraId="13224B5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5B0FA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Перестрахування</w:t>
      </w:r>
    </w:p>
    <w:p w14:paraId="117BA6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FB0A31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процесi ведення звичайної господарської дiяльностi Компанiя укладає договори перестрахування з метою зниження ймовiрностi виникнення чистого збитку за допомогою часткової передачi ризику перестраховикам. Договори перестрахування не звiльняють Компанiю вiд її первiсних зобов'язань прямого страховика перед страхувальниками.</w:t>
      </w:r>
    </w:p>
    <w:p w14:paraId="466DBA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AA986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Переданi премiї й отриманi компенсацiйнi виплати вiдображаються в Балансi та Звiтi про фiнансовий результат до вiдрахування комiсiйної винагороди.</w:t>
      </w:r>
    </w:p>
    <w:p w14:paraId="549E37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CEF28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Активи перестрахування включають суми до вiдшкодування вiд компанiй-перестраховикiв за переданим страховим зобов'язанням. Суми до вiдшкодування вiд перестраховикiв розраховуються на основi резервiв збиткiв або врегульованих збиткiв за перестрахованими договорами.</w:t>
      </w:r>
    </w:p>
    <w:p w14:paraId="223A52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28BFE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Суми, що вiдшкодовуються за договорами перестрахування, оцiнюються на наявнiсть ознак знецiнення на кожну звiтну дату. Подiбнi активи знецiнюються в результатi подiй, що вiдбулися пiсля первiсного визнання активiв, що свiдчить про те, що Компанiя може не одержати всю належну їй суму, за умови, що зазначена подiя впливає на розмiр вiдшкодування, яке Компанiя має одержати вiд перестраховика, i його можна оцiнити з достатнiм ступенем надiйностi.</w:t>
      </w:r>
    </w:p>
    <w:p w14:paraId="3FB23B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397C4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Умови й термiни дiї договорiв страхування, якi впливають на величину, строки й невизначенiсть майбутнiх потокiв коштiв, пов'язаних iз договорами страхування, наведенi далi. </w:t>
      </w:r>
    </w:p>
    <w:p w14:paraId="606093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40215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Кредитна якiсть активiв з перестрахування</w:t>
      </w:r>
    </w:p>
    <w:p w14:paraId="0F10E9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6E7999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Перестрахувальнi активи Компанiї в основному сплачуються до компанiй, що мають кредитний рейтинг A.M. Best або S&amp;P, але не нижче B-.</w:t>
      </w:r>
    </w:p>
    <w:p w14:paraId="4DFB66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08FB5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Припущення й аналiз чутливостi щодо короткострокових договорiв страхування</w:t>
      </w:r>
    </w:p>
    <w:p w14:paraId="643C0E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F123F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Припущення, що використовуються для оцiнки страхових активiв i зобов'язань, призначенi для формування резервiв, достатнiх для покриття будь-яких зобов'язань, пов'язаних з договорами страхування, представляється можливим оцiнити цю величину в майбутньому.</w:t>
      </w:r>
    </w:p>
    <w:p w14:paraId="2A1F97B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90C49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Однак беручи до уваги невизначеностi, властивi процесу розрахункiв резервiв належних виплат, iснує ймовiрнiсть того, що кiнцевий результат буде вiдрiзнятися вiд первiсної оцiнки зобов'язань.</w:t>
      </w:r>
    </w:p>
    <w:p w14:paraId="076BD3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E8FF5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Резерв належних виплат не дисконтується з урахуванням тимчасової вартостi грошей.</w:t>
      </w:r>
    </w:p>
    <w:p w14:paraId="03CFDEE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8A66E6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перевiряє припущення на предмет вiдповiдностi загальнодоступної ринкової iнформацiї й iншої опублiкованої iнформацiї.</w:t>
      </w:r>
    </w:p>
    <w:p w14:paraId="03E71BC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213C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Оцiнка резерву належних виплат, що вiдбулися, але не заявленi, пов'язана з бiльшим ступенем невизначеностi, нiж оцiнка вже заявлених збиткiв, за якими доступно бiльше iнформацiї. У зв'язку з тим, що перiод виявлення збиткiв портфеля страхових продуктiв Компанiї носить короткостроковий характер, врегулювання значної кiлькостi збиткiв вiдбувається протягом року пiсля настання страхового випадку, що став причиною виникнення збитку.</w:t>
      </w:r>
    </w:p>
    <w:p w14:paraId="1A0945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0CC0C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Розрахунок резерву понесених, але не заявлених збиткiв здiйснюється iз застосуванням математично-статистичних методiв для аналiзу розвитку збиткiв у страхуваннi.  </w:t>
      </w:r>
    </w:p>
    <w:p w14:paraId="5F0D68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07026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II. </w:t>
      </w:r>
      <w:r>
        <w:rPr>
          <w:rFonts w:ascii="Times New Roman CYR" w:hAnsi="Times New Roman CYR" w:cs="Times New Roman CYR"/>
          <w:kern w:val="0"/>
        </w:rPr>
        <w:tab/>
        <w:t>ОЦIНКА СТАТЕЙ ЗВIТНОСТI</w:t>
      </w:r>
    </w:p>
    <w:p w14:paraId="09919C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21A80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2.1. </w:t>
      </w:r>
      <w:r>
        <w:rPr>
          <w:rFonts w:ascii="Times New Roman CYR" w:hAnsi="Times New Roman CYR" w:cs="Times New Roman CYR"/>
          <w:kern w:val="0"/>
        </w:rPr>
        <w:tab/>
        <w:t xml:space="preserve">НЕМАТЕРIАЛЬНI АКТИВИ (КОДИ РЯДКIВ 1000, 1001, 1002) </w:t>
      </w:r>
    </w:p>
    <w:p w14:paraId="3DB8A45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F85C1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Нематерiальнi активи</w:t>
      </w:r>
    </w:p>
    <w:p w14:paraId="7967A1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7B6D31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Програмне забезпечення</w:t>
      </w:r>
      <w:r>
        <w:rPr>
          <w:rFonts w:ascii="Times New Roman CYR" w:hAnsi="Times New Roman CYR" w:cs="Times New Roman CYR"/>
          <w:kern w:val="0"/>
        </w:rPr>
        <w:tab/>
        <w:t>Лiцензiї</w:t>
      </w:r>
      <w:r>
        <w:rPr>
          <w:rFonts w:ascii="Times New Roman CYR" w:hAnsi="Times New Roman CYR" w:cs="Times New Roman CYR"/>
          <w:kern w:val="0"/>
        </w:rPr>
        <w:tab/>
        <w:t>Всього</w:t>
      </w:r>
    </w:p>
    <w:p w14:paraId="5BCC29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p>
    <w:p w14:paraId="426BF2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Первiсна вартiсть:</w:t>
      </w:r>
    </w:p>
    <w:p w14:paraId="42418F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329</w:t>
      </w:r>
      <w:r>
        <w:rPr>
          <w:rFonts w:ascii="Times New Roman CYR" w:hAnsi="Times New Roman CYR" w:cs="Times New Roman CYR"/>
          <w:kern w:val="0"/>
        </w:rPr>
        <w:tab/>
        <w:t>30</w:t>
      </w:r>
      <w:r>
        <w:rPr>
          <w:rFonts w:ascii="Times New Roman CYR" w:hAnsi="Times New Roman CYR" w:cs="Times New Roman CYR"/>
          <w:kern w:val="0"/>
        </w:rPr>
        <w:tab/>
        <w:t>359</w:t>
      </w:r>
    </w:p>
    <w:p w14:paraId="6818EA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придбання</w:t>
      </w:r>
      <w:r>
        <w:rPr>
          <w:rFonts w:ascii="Times New Roman CYR" w:hAnsi="Times New Roman CYR" w:cs="Times New Roman CYR"/>
          <w:kern w:val="0"/>
        </w:rPr>
        <w:tab/>
        <w:t>-</w:t>
      </w:r>
      <w:r>
        <w:rPr>
          <w:rFonts w:ascii="Times New Roman CYR" w:hAnsi="Times New Roman CYR" w:cs="Times New Roman CYR"/>
          <w:kern w:val="0"/>
        </w:rPr>
        <w:tab/>
        <w:t>-</w:t>
      </w:r>
      <w:r>
        <w:rPr>
          <w:rFonts w:ascii="Times New Roman CYR" w:hAnsi="Times New Roman CYR" w:cs="Times New Roman CYR"/>
          <w:kern w:val="0"/>
        </w:rPr>
        <w:tab/>
        <w:t>-</w:t>
      </w:r>
    </w:p>
    <w:p w14:paraId="1EEA98A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вибуття</w:t>
      </w:r>
      <w:r>
        <w:rPr>
          <w:rFonts w:ascii="Times New Roman CYR" w:hAnsi="Times New Roman CYR" w:cs="Times New Roman CYR"/>
          <w:kern w:val="0"/>
        </w:rPr>
        <w:tab/>
        <w:t>-</w:t>
      </w:r>
      <w:r>
        <w:rPr>
          <w:rFonts w:ascii="Times New Roman CYR" w:hAnsi="Times New Roman CYR" w:cs="Times New Roman CYR"/>
          <w:kern w:val="0"/>
        </w:rPr>
        <w:tab/>
        <w:t>-</w:t>
      </w:r>
      <w:r>
        <w:rPr>
          <w:rFonts w:ascii="Times New Roman CYR" w:hAnsi="Times New Roman CYR" w:cs="Times New Roman CYR"/>
          <w:kern w:val="0"/>
        </w:rPr>
        <w:tab/>
        <w:t>-</w:t>
      </w:r>
    </w:p>
    <w:p w14:paraId="28EF4DC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На 31 грудня 2024 р.</w:t>
      </w:r>
      <w:r>
        <w:rPr>
          <w:rFonts w:ascii="Times New Roman CYR" w:hAnsi="Times New Roman CYR" w:cs="Times New Roman CYR"/>
          <w:kern w:val="0"/>
        </w:rPr>
        <w:tab/>
        <w:t>329</w:t>
      </w:r>
      <w:r>
        <w:rPr>
          <w:rFonts w:ascii="Times New Roman CYR" w:hAnsi="Times New Roman CYR" w:cs="Times New Roman CYR"/>
          <w:kern w:val="0"/>
        </w:rPr>
        <w:tab/>
        <w:t>30</w:t>
      </w:r>
      <w:r>
        <w:rPr>
          <w:rFonts w:ascii="Times New Roman CYR" w:hAnsi="Times New Roman CYR" w:cs="Times New Roman CYR"/>
          <w:kern w:val="0"/>
        </w:rPr>
        <w:tab/>
        <w:t>359</w:t>
      </w:r>
    </w:p>
    <w:p w14:paraId="7F87C8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Накопичена амортизацiя:</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p>
    <w:p w14:paraId="1734DD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329</w:t>
      </w:r>
      <w:r>
        <w:rPr>
          <w:rFonts w:ascii="Times New Roman CYR" w:hAnsi="Times New Roman CYR" w:cs="Times New Roman CYR"/>
          <w:kern w:val="0"/>
        </w:rPr>
        <w:tab/>
        <w:t>-</w:t>
      </w:r>
      <w:r>
        <w:rPr>
          <w:rFonts w:ascii="Times New Roman CYR" w:hAnsi="Times New Roman CYR" w:cs="Times New Roman CYR"/>
          <w:kern w:val="0"/>
        </w:rPr>
        <w:tab/>
        <w:t>329</w:t>
      </w:r>
    </w:p>
    <w:p w14:paraId="621706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Нараховано за рiк</w:t>
      </w:r>
      <w:r>
        <w:rPr>
          <w:rFonts w:ascii="Times New Roman CYR" w:hAnsi="Times New Roman CYR" w:cs="Times New Roman CYR"/>
          <w:kern w:val="0"/>
        </w:rPr>
        <w:tab/>
      </w:r>
      <w:r>
        <w:rPr>
          <w:rFonts w:ascii="Times New Roman CYR" w:hAnsi="Times New Roman CYR" w:cs="Times New Roman CYR"/>
          <w:kern w:val="0"/>
        </w:rPr>
        <w:tab/>
        <w:t>-</w:t>
      </w:r>
      <w:r>
        <w:rPr>
          <w:rFonts w:ascii="Times New Roman CYR" w:hAnsi="Times New Roman CYR" w:cs="Times New Roman CYR"/>
          <w:kern w:val="0"/>
        </w:rPr>
        <w:tab/>
      </w:r>
    </w:p>
    <w:p w14:paraId="2859C6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Списано при вибуттi</w:t>
      </w:r>
      <w:r>
        <w:rPr>
          <w:rFonts w:ascii="Times New Roman CYR" w:hAnsi="Times New Roman CYR" w:cs="Times New Roman CYR"/>
          <w:kern w:val="0"/>
        </w:rPr>
        <w:tab/>
        <w:t>329</w:t>
      </w:r>
      <w:r>
        <w:rPr>
          <w:rFonts w:ascii="Times New Roman CYR" w:hAnsi="Times New Roman CYR" w:cs="Times New Roman CYR"/>
          <w:kern w:val="0"/>
        </w:rPr>
        <w:tab/>
        <w:t>30</w:t>
      </w:r>
      <w:r>
        <w:rPr>
          <w:rFonts w:ascii="Times New Roman CYR" w:hAnsi="Times New Roman CYR" w:cs="Times New Roman CYR"/>
          <w:kern w:val="0"/>
        </w:rPr>
        <w:tab/>
        <w:t>359</w:t>
      </w:r>
    </w:p>
    <w:p w14:paraId="1714EF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0</w:t>
      </w:r>
      <w:r>
        <w:rPr>
          <w:rFonts w:ascii="Times New Roman CYR" w:hAnsi="Times New Roman CYR" w:cs="Times New Roman CYR"/>
          <w:kern w:val="0"/>
        </w:rPr>
        <w:tab/>
        <w:t>-</w:t>
      </w:r>
      <w:r>
        <w:rPr>
          <w:rFonts w:ascii="Times New Roman CYR" w:hAnsi="Times New Roman CYR" w:cs="Times New Roman CYR"/>
          <w:kern w:val="0"/>
        </w:rPr>
        <w:tab/>
        <w:t>0</w:t>
      </w:r>
    </w:p>
    <w:p w14:paraId="1941BA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Чиста балансова вартiсть</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p>
    <w:p w14:paraId="09A6926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0</w:t>
      </w:r>
      <w:r>
        <w:rPr>
          <w:rFonts w:ascii="Times New Roman CYR" w:hAnsi="Times New Roman CYR" w:cs="Times New Roman CYR"/>
          <w:kern w:val="0"/>
        </w:rPr>
        <w:tab/>
        <w:t>0</w:t>
      </w:r>
      <w:r>
        <w:rPr>
          <w:rFonts w:ascii="Times New Roman CYR" w:hAnsi="Times New Roman CYR" w:cs="Times New Roman CYR"/>
          <w:kern w:val="0"/>
        </w:rPr>
        <w:tab/>
        <w:t>0</w:t>
      </w:r>
    </w:p>
    <w:p w14:paraId="564B18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2024 р.</w:t>
      </w:r>
      <w:r>
        <w:rPr>
          <w:rFonts w:ascii="Times New Roman CYR" w:hAnsi="Times New Roman CYR" w:cs="Times New Roman CYR"/>
          <w:kern w:val="0"/>
        </w:rPr>
        <w:tab/>
        <w:t>0</w:t>
      </w:r>
      <w:r>
        <w:rPr>
          <w:rFonts w:ascii="Times New Roman CYR" w:hAnsi="Times New Roman CYR" w:cs="Times New Roman CYR"/>
          <w:kern w:val="0"/>
        </w:rPr>
        <w:tab/>
        <w:t>0</w:t>
      </w:r>
      <w:r>
        <w:rPr>
          <w:rFonts w:ascii="Times New Roman CYR" w:hAnsi="Times New Roman CYR" w:cs="Times New Roman CYR"/>
          <w:kern w:val="0"/>
        </w:rPr>
        <w:tab/>
        <w:t>0</w:t>
      </w:r>
    </w:p>
    <w:p w14:paraId="19F562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5C3F1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2.2. </w:t>
      </w:r>
      <w:r>
        <w:rPr>
          <w:rFonts w:ascii="Times New Roman CYR" w:hAnsi="Times New Roman CYR" w:cs="Times New Roman CYR"/>
          <w:kern w:val="0"/>
        </w:rPr>
        <w:tab/>
        <w:t>ОСНОВНI ЗАСОБИ (КОДИ РЯДКIВ 1010, 1011, 1012)</w:t>
      </w:r>
    </w:p>
    <w:p w14:paraId="79157CB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85E6C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засоби</w:t>
      </w:r>
    </w:p>
    <w:p w14:paraId="698837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9C5DA3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Будiвлi та споруди</w:t>
      </w:r>
      <w:r>
        <w:rPr>
          <w:rFonts w:ascii="Times New Roman CYR" w:hAnsi="Times New Roman CYR" w:cs="Times New Roman CYR"/>
          <w:kern w:val="0"/>
        </w:rPr>
        <w:tab/>
        <w:t>Транспортнi засоби</w:t>
      </w:r>
      <w:r>
        <w:rPr>
          <w:rFonts w:ascii="Times New Roman CYR" w:hAnsi="Times New Roman CYR" w:cs="Times New Roman CYR"/>
          <w:kern w:val="0"/>
        </w:rPr>
        <w:tab/>
        <w:t xml:space="preserve">Iнструменти прилади, iнвентар (меблi) </w:t>
      </w:r>
      <w:r>
        <w:rPr>
          <w:rFonts w:ascii="Times New Roman CYR" w:hAnsi="Times New Roman CYR" w:cs="Times New Roman CYR"/>
          <w:kern w:val="0"/>
        </w:rPr>
        <w:tab/>
        <w:t>Iншi основнi засоби</w:t>
      </w:r>
      <w:r>
        <w:rPr>
          <w:rFonts w:ascii="Times New Roman CYR" w:hAnsi="Times New Roman CYR" w:cs="Times New Roman CYR"/>
          <w:kern w:val="0"/>
        </w:rPr>
        <w:tab/>
        <w:t>Всього</w:t>
      </w:r>
    </w:p>
    <w:p w14:paraId="2650D9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Первiсна вартiсть</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 xml:space="preserve"> </w:t>
      </w:r>
    </w:p>
    <w:p w14:paraId="06AC51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31 грудня 2023 р. </w:t>
      </w:r>
      <w:r>
        <w:rPr>
          <w:rFonts w:ascii="Times New Roman CYR" w:hAnsi="Times New Roman CYR" w:cs="Times New Roman CYR"/>
          <w:kern w:val="0"/>
        </w:rPr>
        <w:tab/>
        <w:t>33 886</w:t>
      </w:r>
      <w:r>
        <w:rPr>
          <w:rFonts w:ascii="Times New Roman CYR" w:hAnsi="Times New Roman CYR" w:cs="Times New Roman CYR"/>
          <w:kern w:val="0"/>
        </w:rPr>
        <w:tab/>
        <w:t>600</w:t>
      </w:r>
      <w:r>
        <w:rPr>
          <w:rFonts w:ascii="Times New Roman CYR" w:hAnsi="Times New Roman CYR" w:cs="Times New Roman CYR"/>
          <w:kern w:val="0"/>
        </w:rPr>
        <w:tab/>
        <w:t>475</w:t>
      </w:r>
      <w:r>
        <w:rPr>
          <w:rFonts w:ascii="Times New Roman CYR" w:hAnsi="Times New Roman CYR" w:cs="Times New Roman CYR"/>
          <w:kern w:val="0"/>
        </w:rPr>
        <w:tab/>
        <w:t>14</w:t>
      </w:r>
      <w:r>
        <w:rPr>
          <w:rFonts w:ascii="Times New Roman CYR" w:hAnsi="Times New Roman CYR" w:cs="Times New Roman CYR"/>
          <w:kern w:val="0"/>
        </w:rPr>
        <w:tab/>
        <w:t>34975</w:t>
      </w:r>
    </w:p>
    <w:p w14:paraId="1BB444F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Придбання (дооцiнка)</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27</w:t>
      </w:r>
      <w:r>
        <w:rPr>
          <w:rFonts w:ascii="Times New Roman CYR" w:hAnsi="Times New Roman CYR" w:cs="Times New Roman CYR"/>
          <w:kern w:val="0"/>
        </w:rPr>
        <w:tab/>
      </w:r>
      <w:r>
        <w:rPr>
          <w:rFonts w:ascii="Times New Roman CYR" w:hAnsi="Times New Roman CYR" w:cs="Times New Roman CYR"/>
          <w:kern w:val="0"/>
        </w:rPr>
        <w:tab/>
      </w:r>
    </w:p>
    <w:p w14:paraId="6DC72C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Вибуття</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149</w:t>
      </w:r>
      <w:r>
        <w:rPr>
          <w:rFonts w:ascii="Times New Roman CYR" w:hAnsi="Times New Roman CYR" w:cs="Times New Roman CYR"/>
          <w:kern w:val="0"/>
        </w:rPr>
        <w:tab/>
      </w:r>
      <w:r>
        <w:rPr>
          <w:rFonts w:ascii="Times New Roman CYR" w:hAnsi="Times New Roman CYR" w:cs="Times New Roman CYR"/>
          <w:kern w:val="0"/>
        </w:rPr>
        <w:tab/>
      </w:r>
    </w:p>
    <w:p w14:paraId="0CF574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31 грудня 2024 р. </w:t>
      </w:r>
      <w:r>
        <w:rPr>
          <w:rFonts w:ascii="Times New Roman CYR" w:hAnsi="Times New Roman CYR" w:cs="Times New Roman CYR"/>
          <w:kern w:val="0"/>
        </w:rPr>
        <w:tab/>
        <w:t>33 886</w:t>
      </w:r>
      <w:r>
        <w:rPr>
          <w:rFonts w:ascii="Times New Roman CYR" w:hAnsi="Times New Roman CYR" w:cs="Times New Roman CYR"/>
          <w:kern w:val="0"/>
        </w:rPr>
        <w:tab/>
        <w:t>600</w:t>
      </w:r>
      <w:r>
        <w:rPr>
          <w:rFonts w:ascii="Times New Roman CYR" w:hAnsi="Times New Roman CYR" w:cs="Times New Roman CYR"/>
          <w:kern w:val="0"/>
        </w:rPr>
        <w:tab/>
        <w:t>353</w:t>
      </w:r>
      <w:r>
        <w:rPr>
          <w:rFonts w:ascii="Times New Roman CYR" w:hAnsi="Times New Roman CYR" w:cs="Times New Roman CYR"/>
          <w:kern w:val="0"/>
        </w:rPr>
        <w:tab/>
        <w:t>14</w:t>
      </w:r>
      <w:r>
        <w:rPr>
          <w:rFonts w:ascii="Times New Roman CYR" w:hAnsi="Times New Roman CYR" w:cs="Times New Roman CYR"/>
          <w:kern w:val="0"/>
        </w:rPr>
        <w:tab/>
        <w:t>34853</w:t>
      </w:r>
    </w:p>
    <w:p w14:paraId="3F92F7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Накопичений знос </w:t>
      </w:r>
    </w:p>
    <w:p w14:paraId="041B55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та знецiнення</w:t>
      </w:r>
    </w:p>
    <w:p w14:paraId="27B0E1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7111</w:t>
      </w:r>
      <w:r>
        <w:rPr>
          <w:rFonts w:ascii="Times New Roman CYR" w:hAnsi="Times New Roman CYR" w:cs="Times New Roman CYR"/>
          <w:kern w:val="0"/>
        </w:rPr>
        <w:tab/>
        <w:t>475</w:t>
      </w:r>
      <w:r>
        <w:rPr>
          <w:rFonts w:ascii="Times New Roman CYR" w:hAnsi="Times New Roman CYR" w:cs="Times New Roman CYR"/>
          <w:kern w:val="0"/>
        </w:rPr>
        <w:tab/>
        <w:t>347</w:t>
      </w:r>
      <w:r>
        <w:rPr>
          <w:rFonts w:ascii="Times New Roman CYR" w:hAnsi="Times New Roman CYR" w:cs="Times New Roman CYR"/>
          <w:kern w:val="0"/>
        </w:rPr>
        <w:tab/>
        <w:t>14</w:t>
      </w:r>
      <w:r>
        <w:rPr>
          <w:rFonts w:ascii="Times New Roman CYR" w:hAnsi="Times New Roman CYR" w:cs="Times New Roman CYR"/>
          <w:kern w:val="0"/>
        </w:rPr>
        <w:tab/>
        <w:t>7947</w:t>
      </w:r>
    </w:p>
    <w:p w14:paraId="47B56D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Нараховано знос за рiк</w:t>
      </w:r>
      <w:r>
        <w:rPr>
          <w:rFonts w:ascii="Times New Roman CYR" w:hAnsi="Times New Roman CYR" w:cs="Times New Roman CYR"/>
          <w:kern w:val="0"/>
        </w:rPr>
        <w:tab/>
        <w:t>639</w:t>
      </w:r>
      <w:r>
        <w:rPr>
          <w:rFonts w:ascii="Times New Roman CYR" w:hAnsi="Times New Roman CYR" w:cs="Times New Roman CYR"/>
          <w:kern w:val="0"/>
        </w:rPr>
        <w:tab/>
        <w:t>75</w:t>
      </w:r>
      <w:r>
        <w:rPr>
          <w:rFonts w:ascii="Times New Roman CYR" w:hAnsi="Times New Roman CYR" w:cs="Times New Roman CYR"/>
          <w:kern w:val="0"/>
        </w:rPr>
        <w:tab/>
        <w:t>73</w:t>
      </w:r>
      <w:r>
        <w:rPr>
          <w:rFonts w:ascii="Times New Roman CYR" w:hAnsi="Times New Roman CYR" w:cs="Times New Roman CYR"/>
          <w:kern w:val="0"/>
        </w:rPr>
        <w:tab/>
        <w:t>0</w:t>
      </w:r>
      <w:r>
        <w:rPr>
          <w:rFonts w:ascii="Times New Roman CYR" w:hAnsi="Times New Roman CYR" w:cs="Times New Roman CYR"/>
          <w:kern w:val="0"/>
        </w:rPr>
        <w:tab/>
        <w:t>786</w:t>
      </w:r>
    </w:p>
    <w:p w14:paraId="163135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Вибуття</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t>149</w:t>
      </w:r>
      <w:r>
        <w:rPr>
          <w:rFonts w:ascii="Times New Roman CYR" w:hAnsi="Times New Roman CYR" w:cs="Times New Roman CYR"/>
          <w:kern w:val="0"/>
        </w:rPr>
        <w:tab/>
      </w:r>
      <w:r>
        <w:rPr>
          <w:rFonts w:ascii="Times New Roman CYR" w:hAnsi="Times New Roman CYR" w:cs="Times New Roman CYR"/>
          <w:kern w:val="0"/>
        </w:rPr>
        <w:tab/>
        <w:t>-149</w:t>
      </w:r>
    </w:p>
    <w:p w14:paraId="78DEF3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7 750</w:t>
      </w:r>
      <w:r>
        <w:rPr>
          <w:rFonts w:ascii="Times New Roman CYR" w:hAnsi="Times New Roman CYR" w:cs="Times New Roman CYR"/>
          <w:kern w:val="0"/>
        </w:rPr>
        <w:tab/>
        <w:t>550</w:t>
      </w:r>
      <w:r>
        <w:rPr>
          <w:rFonts w:ascii="Times New Roman CYR" w:hAnsi="Times New Roman CYR" w:cs="Times New Roman CYR"/>
          <w:kern w:val="0"/>
        </w:rPr>
        <w:tab/>
        <w:t>-76</w:t>
      </w:r>
      <w:r>
        <w:rPr>
          <w:rFonts w:ascii="Times New Roman CYR" w:hAnsi="Times New Roman CYR" w:cs="Times New Roman CYR"/>
          <w:kern w:val="0"/>
        </w:rPr>
        <w:tab/>
        <w:t>0</w:t>
      </w:r>
      <w:r>
        <w:rPr>
          <w:rFonts w:ascii="Times New Roman CYR" w:hAnsi="Times New Roman CYR" w:cs="Times New Roman CYR"/>
          <w:kern w:val="0"/>
        </w:rPr>
        <w:tab/>
        <w:t>8582</w:t>
      </w:r>
    </w:p>
    <w:p w14:paraId="1C361A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Чиста балансова вартiсть</w:t>
      </w:r>
    </w:p>
    <w:p w14:paraId="629C8EB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2022 р.</w:t>
      </w:r>
      <w:r>
        <w:rPr>
          <w:rFonts w:ascii="Times New Roman CYR" w:hAnsi="Times New Roman CYR" w:cs="Times New Roman CYR"/>
          <w:kern w:val="0"/>
        </w:rPr>
        <w:tab/>
        <w:t>26 775</w:t>
      </w:r>
      <w:r>
        <w:rPr>
          <w:rFonts w:ascii="Times New Roman CYR" w:hAnsi="Times New Roman CYR" w:cs="Times New Roman CYR"/>
          <w:kern w:val="0"/>
        </w:rPr>
        <w:tab/>
        <w:t>125</w:t>
      </w:r>
      <w:r>
        <w:rPr>
          <w:rFonts w:ascii="Times New Roman CYR" w:hAnsi="Times New Roman CYR" w:cs="Times New Roman CYR"/>
          <w:kern w:val="0"/>
        </w:rPr>
        <w:tab/>
        <w:t>129</w:t>
      </w:r>
      <w:r>
        <w:rPr>
          <w:rFonts w:ascii="Times New Roman CYR" w:hAnsi="Times New Roman CYR" w:cs="Times New Roman CYR"/>
          <w:kern w:val="0"/>
        </w:rPr>
        <w:tab/>
        <w:t>0</w:t>
      </w:r>
      <w:r>
        <w:rPr>
          <w:rFonts w:ascii="Times New Roman CYR" w:hAnsi="Times New Roman CYR" w:cs="Times New Roman CYR"/>
          <w:kern w:val="0"/>
        </w:rPr>
        <w:tab/>
        <w:t>27 029</w:t>
      </w:r>
    </w:p>
    <w:p w14:paraId="2B1C9F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31 грудня 2023 р.</w:t>
      </w:r>
      <w:r>
        <w:rPr>
          <w:rFonts w:ascii="Times New Roman CYR" w:hAnsi="Times New Roman CYR" w:cs="Times New Roman CYR"/>
          <w:kern w:val="0"/>
        </w:rPr>
        <w:tab/>
        <w:t>26 136</w:t>
      </w:r>
      <w:r>
        <w:rPr>
          <w:rFonts w:ascii="Times New Roman CYR" w:hAnsi="Times New Roman CYR" w:cs="Times New Roman CYR"/>
          <w:kern w:val="0"/>
        </w:rPr>
        <w:tab/>
        <w:t>50</w:t>
      </w:r>
      <w:r>
        <w:rPr>
          <w:rFonts w:ascii="Times New Roman CYR" w:hAnsi="Times New Roman CYR" w:cs="Times New Roman CYR"/>
          <w:kern w:val="0"/>
        </w:rPr>
        <w:tab/>
        <w:t>85</w:t>
      </w:r>
      <w:r>
        <w:rPr>
          <w:rFonts w:ascii="Times New Roman CYR" w:hAnsi="Times New Roman CYR" w:cs="Times New Roman CYR"/>
          <w:kern w:val="0"/>
        </w:rPr>
        <w:tab/>
        <w:t>0</w:t>
      </w:r>
      <w:r>
        <w:rPr>
          <w:rFonts w:ascii="Times New Roman CYR" w:hAnsi="Times New Roman CYR" w:cs="Times New Roman CYR"/>
          <w:kern w:val="0"/>
        </w:rPr>
        <w:tab/>
        <w:t>26 271</w:t>
      </w:r>
    </w:p>
    <w:p w14:paraId="040ED75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8681D1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2023 р. справедлива вартiсть об'єкта нерухомостi була визначена на пiдставi результатiв незалежної оцiнки. Для оцiнки об'єкта нерухомостi використано ринковий метод, який грунтується на порiвняльному аналiзi результатiв продажiв аналогiчної нерухомостi. </w:t>
      </w:r>
    </w:p>
    <w:p w14:paraId="5D30D8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5E2AB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2.3. </w:t>
      </w:r>
      <w:r>
        <w:rPr>
          <w:rFonts w:ascii="Times New Roman CYR" w:hAnsi="Times New Roman CYR" w:cs="Times New Roman CYR"/>
          <w:kern w:val="0"/>
        </w:rPr>
        <w:tab/>
        <w:t>ФIНАНСОВI IНВЕСТИЦIЇ (КОД РЯДКIВ 1035, 1060)</w:t>
      </w:r>
    </w:p>
    <w:p w14:paraId="53E066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2D2FDB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iнструменти, що оцiнюються за справедливою вартiстю, змiни якої вiдображаються у складi прибутку або збитку за перiод, представленi цiнними паперами. До боргових iнвестицiй належать облiгацiї внутрiшнiх державних позик Мiнiстерства фiнансiв України (ОВДП). Для їх оцiнки на дату балансу застосований метод оцiнки за амортизованою собiвартiстю фiнансових iнвестицiй (АСФI), тобто з урахуванням часткового їх списання внаслiдок зменшення корисностi, яка збiльшена (зменшена) на суму накопиченої амортизац</w:t>
      </w:r>
      <w:r>
        <w:rPr>
          <w:rFonts w:ascii="Times New Roman CYR" w:hAnsi="Times New Roman CYR" w:cs="Times New Roman CYR"/>
          <w:kern w:val="0"/>
        </w:rPr>
        <w:t xml:space="preserve">iї дисконту (премiї). </w:t>
      </w:r>
    </w:p>
    <w:p w14:paraId="535B21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A1880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2023 р. на балансi не має ОВДП.</w:t>
      </w:r>
    </w:p>
    <w:p w14:paraId="490880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62F1D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888F0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2.4. </w:t>
      </w:r>
      <w:r>
        <w:rPr>
          <w:rFonts w:ascii="Times New Roman CYR" w:hAnsi="Times New Roman CYR" w:cs="Times New Roman CYR"/>
          <w:kern w:val="0"/>
        </w:rPr>
        <w:tab/>
        <w:t>ВIДСТРОЧЕНI АКВIЗИЦIЙНI ВИТРАТИ (КОД РЯДКА 1060)</w:t>
      </w:r>
    </w:p>
    <w:p w14:paraId="788A11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3BF1A9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Змiни вiдстрочених аквiзицiйних витрат за рiк, що закiнчився 31 грудня, представленi наступним чином: </w:t>
      </w:r>
    </w:p>
    <w:p w14:paraId="356BEE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Показник</w:t>
      </w:r>
      <w:r>
        <w:rPr>
          <w:rFonts w:ascii="Times New Roman CYR" w:hAnsi="Times New Roman CYR" w:cs="Times New Roman CYR"/>
          <w:kern w:val="0"/>
        </w:rPr>
        <w:tab/>
        <w:t>Вiдстроченi аквiзицiйнi витрати</w:t>
      </w:r>
    </w:p>
    <w:p w14:paraId="08A377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022BE83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станом на 31.12.2024 р.</w:t>
      </w:r>
      <w:r>
        <w:rPr>
          <w:rFonts w:ascii="Times New Roman CYR" w:hAnsi="Times New Roman CYR" w:cs="Times New Roman CYR"/>
          <w:kern w:val="0"/>
        </w:rPr>
        <w:tab/>
        <w:t>0</w:t>
      </w:r>
    </w:p>
    <w:p w14:paraId="6978CF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Збiльшення (зменшення) вiдстрочених аквiзицiйних витрат за звiтний перiод</w:t>
      </w:r>
      <w:r>
        <w:rPr>
          <w:rFonts w:ascii="Times New Roman CYR" w:hAnsi="Times New Roman CYR" w:cs="Times New Roman CYR"/>
          <w:kern w:val="0"/>
        </w:rPr>
        <w:tab/>
        <w:t>0</w:t>
      </w:r>
    </w:p>
    <w:p w14:paraId="5ABEAC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станом на 31.12.2023 р.</w:t>
      </w:r>
      <w:r>
        <w:rPr>
          <w:rFonts w:ascii="Times New Roman CYR" w:hAnsi="Times New Roman CYR" w:cs="Times New Roman CYR"/>
          <w:kern w:val="0"/>
        </w:rPr>
        <w:tab/>
        <w:t>0</w:t>
      </w:r>
    </w:p>
    <w:p w14:paraId="5FDEA4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r>
    </w:p>
    <w:p w14:paraId="7B62C1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69F5E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2.5.</w:t>
      </w:r>
      <w:r>
        <w:rPr>
          <w:rFonts w:ascii="Times New Roman CYR" w:hAnsi="Times New Roman CYR" w:cs="Times New Roman CYR"/>
          <w:kern w:val="0"/>
        </w:rPr>
        <w:tab/>
        <w:t>ЗАПАСИ (КОД РЯДКА 1100)</w:t>
      </w:r>
    </w:p>
    <w:p w14:paraId="7B02BE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349503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Вартiсть запасiв Компанiї станом на 31.12.2023 р. становить 51 тис. грн, в т.ч. виробничi запаси -  тис. грн.</w:t>
      </w:r>
    </w:p>
    <w:p w14:paraId="1E96A2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3D75BA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Вартiсть запасiв Компанiї станом на 31.12.2024 р. становить 27 тис. грн, в т.ч. виробничi запаси - 27 тис. грн.</w:t>
      </w:r>
    </w:p>
    <w:p w14:paraId="47E4EDD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48428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2.6. </w:t>
      </w:r>
      <w:r>
        <w:rPr>
          <w:rFonts w:ascii="Times New Roman CYR" w:hAnsi="Times New Roman CYR" w:cs="Times New Roman CYR"/>
          <w:kern w:val="0"/>
        </w:rPr>
        <w:tab/>
        <w:t>ДЕБIТОРСЬКА ЗАБОРГОВАНIСТЬ (КОДИ РЯДКIВ 1125, 1130, 1135, 1140, 1155)</w:t>
      </w:r>
    </w:p>
    <w:p w14:paraId="4D2474D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AA3C95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за страховою дiяльнiстю включає:</w:t>
      </w:r>
    </w:p>
    <w:p w14:paraId="486F783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76330D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за договорами страхування (перестрахування);</w:t>
      </w:r>
    </w:p>
    <w:p w14:paraId="3354982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перестраховикiв за страховими виплатами;</w:t>
      </w:r>
    </w:p>
    <w:p w14:paraId="4F5E86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щодо комiсiйної винагороди пере страховикiв.</w:t>
      </w:r>
    </w:p>
    <w:p w14:paraId="784D92E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308C6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страхувальникiв (перестрахувальникiв) визнається на дату початку дiї договорiв страхування (перестрахування) та є заборгованiстю страхувальникiв (перестрахувальникiв) зi сплати страхових премiй вiдповiдно до договору на звiтну дату. Дебiторська заборгованiсть страхувальникiв (перестрахувальникiв) визначається за кожним договором страхування (перестрахування).</w:t>
      </w:r>
    </w:p>
    <w:p w14:paraId="12B744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BC345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перестраховикiв за виплатами страхового вiдшкодування визнається в момент визнання кредиторської заборгованостi Компанiї за виплатами страхового вiдшкодування та оцiнюється вiдповiдно до умов договору перестрахування.</w:t>
      </w:r>
    </w:p>
    <w:p w14:paraId="2D4223C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D63148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щодо комiсiйної винагороди, яка пiдлягає сплатi перестраховиками, визнається на дату початку дiї договорiв перестрахування та визначається на пiдставi договорiв перестрахування ризикiв Компанiї.</w:t>
      </w:r>
    </w:p>
    <w:p w14:paraId="3D1788B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AE3954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Iнша дебiторська заборгованiсть включає:</w:t>
      </w:r>
    </w:p>
    <w:p w14:paraId="17E2169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78869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працiвникiв та iнших осiб;</w:t>
      </w:r>
    </w:p>
    <w:p w14:paraId="273F8AA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дебiторську заборгованiсть постачальникiв товарiв, робiт, послуг, якщо формою розрахунку є попередня оплата;</w:t>
      </w:r>
    </w:p>
    <w:p w14:paraId="4BB5F4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iншу дебiторську заборгованiсть.</w:t>
      </w:r>
    </w:p>
    <w:p w14:paraId="1E7338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5592AE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за страховою дiяльнiстю та iнша поточна дебiторська заборгованiсть</w:t>
      </w:r>
    </w:p>
    <w:p w14:paraId="08CF0D9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A4882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Код</w:t>
      </w:r>
      <w:r>
        <w:rPr>
          <w:rFonts w:ascii="Times New Roman CYR" w:hAnsi="Times New Roman CYR" w:cs="Times New Roman CYR"/>
          <w:kern w:val="0"/>
        </w:rPr>
        <w:tab/>
        <w:t>31.12.2023 р.</w:t>
      </w:r>
    </w:p>
    <w:p w14:paraId="1ABD17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31.12.2024 р.</w:t>
      </w:r>
    </w:p>
    <w:p w14:paraId="63397A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2F1ABE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Заборгованiсть клiєнтiв зi сплати страхових премiй </w:t>
      </w:r>
      <w:r>
        <w:rPr>
          <w:rFonts w:ascii="Times New Roman CYR" w:hAnsi="Times New Roman CYR" w:cs="Times New Roman CYR"/>
          <w:kern w:val="0"/>
        </w:rPr>
        <w:tab/>
        <w:t>1125</w:t>
      </w:r>
      <w:r>
        <w:rPr>
          <w:rFonts w:ascii="Times New Roman CYR" w:hAnsi="Times New Roman CYR" w:cs="Times New Roman CYR"/>
          <w:kern w:val="0"/>
        </w:rPr>
        <w:tab/>
        <w:t>55</w:t>
      </w:r>
      <w:r>
        <w:rPr>
          <w:rFonts w:ascii="Times New Roman CYR" w:hAnsi="Times New Roman CYR" w:cs="Times New Roman CYR"/>
          <w:kern w:val="0"/>
        </w:rPr>
        <w:tab/>
        <w:t>0</w:t>
      </w:r>
    </w:p>
    <w:p w14:paraId="2FFCCE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Заборгованiсть перестраховикiв</w:t>
      </w:r>
      <w:r>
        <w:rPr>
          <w:rFonts w:ascii="Times New Roman CYR" w:hAnsi="Times New Roman CYR" w:cs="Times New Roman CYR"/>
          <w:kern w:val="0"/>
        </w:rPr>
        <w:tab/>
        <w:t>1155</w:t>
      </w:r>
      <w:r>
        <w:rPr>
          <w:rFonts w:ascii="Times New Roman CYR" w:hAnsi="Times New Roman CYR" w:cs="Times New Roman CYR"/>
          <w:kern w:val="0"/>
        </w:rPr>
        <w:tab/>
        <w:t>597</w:t>
      </w:r>
      <w:r>
        <w:rPr>
          <w:rFonts w:ascii="Times New Roman CYR" w:hAnsi="Times New Roman CYR" w:cs="Times New Roman CYR"/>
          <w:kern w:val="0"/>
        </w:rPr>
        <w:tab/>
        <w:t>0</w:t>
      </w:r>
    </w:p>
    <w:p w14:paraId="108EE94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Заборгованiсть за розрахунками по комiсiї цедента</w:t>
      </w:r>
      <w:r>
        <w:rPr>
          <w:rFonts w:ascii="Times New Roman CYR" w:hAnsi="Times New Roman CYR" w:cs="Times New Roman CYR"/>
          <w:kern w:val="0"/>
        </w:rPr>
        <w:tab/>
        <w:t>1155</w:t>
      </w:r>
      <w:r>
        <w:rPr>
          <w:rFonts w:ascii="Times New Roman CYR" w:hAnsi="Times New Roman CYR" w:cs="Times New Roman CYR"/>
          <w:kern w:val="0"/>
        </w:rPr>
        <w:tab/>
        <w:t>0</w:t>
      </w:r>
      <w:r>
        <w:rPr>
          <w:rFonts w:ascii="Times New Roman CYR" w:hAnsi="Times New Roman CYR" w:cs="Times New Roman CYR"/>
          <w:kern w:val="0"/>
        </w:rPr>
        <w:tab/>
        <w:t>0</w:t>
      </w:r>
    </w:p>
    <w:p w14:paraId="559707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виданими авансами</w:t>
      </w:r>
      <w:r>
        <w:rPr>
          <w:rFonts w:ascii="Times New Roman CYR" w:hAnsi="Times New Roman CYR" w:cs="Times New Roman CYR"/>
          <w:kern w:val="0"/>
        </w:rPr>
        <w:tab/>
        <w:t>1130</w:t>
      </w:r>
      <w:r>
        <w:rPr>
          <w:rFonts w:ascii="Times New Roman CYR" w:hAnsi="Times New Roman CYR" w:cs="Times New Roman CYR"/>
          <w:kern w:val="0"/>
        </w:rPr>
        <w:tab/>
        <w:t>28</w:t>
      </w:r>
      <w:r>
        <w:rPr>
          <w:rFonts w:ascii="Times New Roman CYR" w:hAnsi="Times New Roman CYR" w:cs="Times New Roman CYR"/>
          <w:kern w:val="0"/>
        </w:rPr>
        <w:tab/>
        <w:t>38</w:t>
      </w:r>
    </w:p>
    <w:p w14:paraId="1DF57C0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з бюджетом</w:t>
      </w:r>
      <w:r>
        <w:rPr>
          <w:rFonts w:ascii="Times New Roman CYR" w:hAnsi="Times New Roman CYR" w:cs="Times New Roman CYR"/>
          <w:kern w:val="0"/>
        </w:rPr>
        <w:tab/>
        <w:t>1135</w:t>
      </w:r>
      <w:r>
        <w:rPr>
          <w:rFonts w:ascii="Times New Roman CYR" w:hAnsi="Times New Roman CYR" w:cs="Times New Roman CYR"/>
          <w:kern w:val="0"/>
        </w:rPr>
        <w:tab/>
        <w:t>0</w:t>
      </w:r>
      <w:r>
        <w:rPr>
          <w:rFonts w:ascii="Times New Roman CYR" w:hAnsi="Times New Roman CYR" w:cs="Times New Roman CYR"/>
          <w:kern w:val="0"/>
        </w:rPr>
        <w:tab/>
        <w:t>22</w:t>
      </w:r>
    </w:p>
    <w:p w14:paraId="6DA3BBE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з нарахованих доходiв</w:t>
      </w:r>
      <w:r>
        <w:rPr>
          <w:rFonts w:ascii="Times New Roman CYR" w:hAnsi="Times New Roman CYR" w:cs="Times New Roman CYR"/>
          <w:kern w:val="0"/>
        </w:rPr>
        <w:tab/>
        <w:t>1140</w:t>
      </w:r>
      <w:r>
        <w:rPr>
          <w:rFonts w:ascii="Times New Roman CYR" w:hAnsi="Times New Roman CYR" w:cs="Times New Roman CYR"/>
          <w:kern w:val="0"/>
        </w:rPr>
        <w:tab/>
        <w:t>264</w:t>
      </w:r>
      <w:r>
        <w:rPr>
          <w:rFonts w:ascii="Times New Roman CYR" w:hAnsi="Times New Roman CYR" w:cs="Times New Roman CYR"/>
          <w:kern w:val="0"/>
        </w:rPr>
        <w:tab/>
        <w:t>108</w:t>
      </w:r>
    </w:p>
    <w:p w14:paraId="3D6CA94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персоналу</w:t>
      </w:r>
      <w:r>
        <w:rPr>
          <w:rFonts w:ascii="Times New Roman CYR" w:hAnsi="Times New Roman CYR" w:cs="Times New Roman CYR"/>
          <w:kern w:val="0"/>
        </w:rPr>
        <w:tab/>
        <w:t>1155</w:t>
      </w:r>
      <w:r>
        <w:rPr>
          <w:rFonts w:ascii="Times New Roman CYR" w:hAnsi="Times New Roman CYR" w:cs="Times New Roman CYR"/>
          <w:kern w:val="0"/>
        </w:rPr>
        <w:tab/>
        <w:t>0</w:t>
      </w:r>
      <w:r>
        <w:rPr>
          <w:rFonts w:ascii="Times New Roman CYR" w:hAnsi="Times New Roman CYR" w:cs="Times New Roman CYR"/>
          <w:kern w:val="0"/>
        </w:rPr>
        <w:tab/>
        <w:t>0</w:t>
      </w:r>
    </w:p>
    <w:p w14:paraId="0CA77F6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майбутнiх перiодiв за страхування авто</w:t>
      </w:r>
      <w:r>
        <w:rPr>
          <w:rFonts w:ascii="Times New Roman CYR" w:hAnsi="Times New Roman CYR" w:cs="Times New Roman CYR"/>
          <w:kern w:val="0"/>
        </w:rPr>
        <w:tab/>
        <w:t>1155</w:t>
      </w:r>
      <w:r>
        <w:rPr>
          <w:rFonts w:ascii="Times New Roman CYR" w:hAnsi="Times New Roman CYR" w:cs="Times New Roman CYR"/>
          <w:kern w:val="0"/>
        </w:rPr>
        <w:tab/>
        <w:t>29</w:t>
      </w:r>
      <w:r>
        <w:rPr>
          <w:rFonts w:ascii="Times New Roman CYR" w:hAnsi="Times New Roman CYR" w:cs="Times New Roman CYR"/>
          <w:kern w:val="0"/>
        </w:rPr>
        <w:tab/>
        <w:t>5</w:t>
      </w:r>
    </w:p>
    <w:p w14:paraId="10CEA3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Дебiторська заборгованiсть за ЄСВ</w:t>
      </w:r>
      <w:r>
        <w:rPr>
          <w:rFonts w:ascii="Times New Roman CYR" w:hAnsi="Times New Roman CYR" w:cs="Times New Roman CYR"/>
          <w:kern w:val="0"/>
        </w:rPr>
        <w:tab/>
        <w:t>1155</w:t>
      </w:r>
      <w:r>
        <w:rPr>
          <w:rFonts w:ascii="Times New Roman CYR" w:hAnsi="Times New Roman CYR" w:cs="Times New Roman CYR"/>
          <w:kern w:val="0"/>
        </w:rPr>
        <w:tab/>
        <w:t>0</w:t>
      </w:r>
      <w:r>
        <w:rPr>
          <w:rFonts w:ascii="Times New Roman CYR" w:hAnsi="Times New Roman CYR" w:cs="Times New Roman CYR"/>
          <w:kern w:val="0"/>
        </w:rPr>
        <w:tab/>
        <w:t>0</w:t>
      </w:r>
    </w:p>
    <w:p w14:paraId="62756B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УСЬОГО СТРАХОВОЇ ТА IНШОЇ ДЕБIТОРСЬКОЇ ЗАБОРГОВАНОСТI</w:t>
      </w:r>
      <w:r>
        <w:rPr>
          <w:rFonts w:ascii="Times New Roman CYR" w:hAnsi="Times New Roman CYR" w:cs="Times New Roman CYR"/>
          <w:kern w:val="0"/>
        </w:rPr>
        <w:tab/>
      </w:r>
      <w:r>
        <w:rPr>
          <w:rFonts w:ascii="Times New Roman CYR" w:hAnsi="Times New Roman CYR" w:cs="Times New Roman CYR"/>
          <w:kern w:val="0"/>
        </w:rPr>
        <w:tab/>
      </w:r>
    </w:p>
    <w:p w14:paraId="4DA3A0F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973</w:t>
      </w:r>
      <w:r>
        <w:rPr>
          <w:rFonts w:ascii="Times New Roman CYR" w:hAnsi="Times New Roman CYR" w:cs="Times New Roman CYR"/>
          <w:kern w:val="0"/>
        </w:rPr>
        <w:tab/>
      </w:r>
    </w:p>
    <w:p w14:paraId="19627A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200</w:t>
      </w:r>
    </w:p>
    <w:p w14:paraId="72117D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3FF0D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2.7. </w:t>
      </w:r>
      <w:r>
        <w:rPr>
          <w:rFonts w:ascii="Times New Roman CYR" w:hAnsi="Times New Roman CYR" w:cs="Times New Roman CYR"/>
          <w:kern w:val="0"/>
        </w:rPr>
        <w:tab/>
        <w:t>ГРОШОВI КОШТИ ТА ЇХ ЕКВIВАЛЕНТИ (КОД РЯДКА 1165, 1160)</w:t>
      </w:r>
    </w:p>
    <w:p w14:paraId="0AA9DDE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1B2BD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Грошовi кошти та їх еквiваленти включають грошi в касi, грошi на рахунках у банках, iншi короткостроковi лiквiднi iнвестицiї зi строком розмiщення не бiльше трьох мiсяцiв.</w:t>
      </w:r>
    </w:p>
    <w:p w14:paraId="31128A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F4DAE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Грошовi кошти та їх еквiваленти облiковуються за їх номiнальною вартiстю. Грошовi кошти в iноземнiй валютi облiковуються за перерахунком в гривнi за курсом Нацiонального банку на день складання фiнансової звiтностi.</w:t>
      </w:r>
    </w:p>
    <w:p w14:paraId="5225D5D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08A30B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Курсовi рiзницi, якi виникають внаслiдок рiзницi оцiнки активiв та зобов'язань, вартiсть яких виражена в iноземнiй валютi на дату первiсного визнання i дату складання фiнансового звiту, вiдображаються як дохiд або витрати перiоду, в якому вони виникають.</w:t>
      </w:r>
    </w:p>
    <w:p w14:paraId="207C98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6E033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Грошовi кошти</w:t>
      </w:r>
    </w:p>
    <w:p w14:paraId="42351B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A7D7D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Найменування показника</w:t>
      </w:r>
      <w:r>
        <w:rPr>
          <w:rFonts w:ascii="Times New Roman CYR" w:hAnsi="Times New Roman CYR" w:cs="Times New Roman CYR"/>
          <w:kern w:val="0"/>
        </w:rPr>
        <w:tab/>
        <w:t>На кiнець 2023 р.</w:t>
      </w:r>
    </w:p>
    <w:p w14:paraId="0B55191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На кiнець 2024 р.</w:t>
      </w:r>
    </w:p>
    <w:p w14:paraId="5AAF291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0CC947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Каса</w:t>
      </w:r>
      <w:r>
        <w:rPr>
          <w:rFonts w:ascii="Times New Roman CYR" w:hAnsi="Times New Roman CYR" w:cs="Times New Roman CYR"/>
          <w:kern w:val="0"/>
        </w:rPr>
        <w:tab/>
        <w:t>0</w:t>
      </w:r>
      <w:r>
        <w:rPr>
          <w:rFonts w:ascii="Times New Roman CYR" w:hAnsi="Times New Roman CYR" w:cs="Times New Roman CYR"/>
          <w:kern w:val="0"/>
        </w:rPr>
        <w:tab/>
        <w:t>0</w:t>
      </w:r>
    </w:p>
    <w:p w14:paraId="20C7FC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Поточний рахунок у банку</w:t>
      </w:r>
      <w:r>
        <w:rPr>
          <w:rFonts w:ascii="Times New Roman CYR" w:hAnsi="Times New Roman CYR" w:cs="Times New Roman CYR"/>
          <w:kern w:val="0"/>
        </w:rPr>
        <w:tab/>
        <w:t>1 732</w:t>
      </w:r>
      <w:r>
        <w:rPr>
          <w:rFonts w:ascii="Times New Roman CYR" w:hAnsi="Times New Roman CYR" w:cs="Times New Roman CYR"/>
          <w:kern w:val="0"/>
        </w:rPr>
        <w:tab/>
        <w:t>21 358</w:t>
      </w:r>
    </w:p>
    <w:p w14:paraId="332F550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Еквiваленти грошових коштiв</w:t>
      </w:r>
      <w:r>
        <w:rPr>
          <w:rFonts w:ascii="Times New Roman CYR" w:hAnsi="Times New Roman CYR" w:cs="Times New Roman CYR"/>
          <w:kern w:val="0"/>
        </w:rPr>
        <w:tab/>
        <w:t>0</w:t>
      </w:r>
      <w:r>
        <w:rPr>
          <w:rFonts w:ascii="Times New Roman CYR" w:hAnsi="Times New Roman CYR" w:cs="Times New Roman CYR"/>
          <w:kern w:val="0"/>
        </w:rPr>
        <w:tab/>
        <w:t>0</w:t>
      </w:r>
    </w:p>
    <w:p w14:paraId="39DED2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Разом</w:t>
      </w:r>
      <w:r>
        <w:rPr>
          <w:rFonts w:ascii="Times New Roman CYR" w:hAnsi="Times New Roman CYR" w:cs="Times New Roman CYR"/>
          <w:kern w:val="0"/>
        </w:rPr>
        <w:tab/>
        <w:t>1 732</w:t>
      </w:r>
      <w:r>
        <w:rPr>
          <w:rFonts w:ascii="Times New Roman CYR" w:hAnsi="Times New Roman CYR" w:cs="Times New Roman CYR"/>
          <w:kern w:val="0"/>
        </w:rPr>
        <w:tab/>
        <w:t>21 358</w:t>
      </w:r>
    </w:p>
    <w:p w14:paraId="34441E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464E2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 рядку 1160 Балансу станом на 31.12.2024 р. представленi депозитнi вклади в сумi 37 800 тис. грн., якi розмiщенi в банкiвських установах бiльше 3-х мiсяцiв. Станом на 31.12.2024 р. вартiсть депозитних вкладiв, вiдображених в рядку 1160 становлять 0,0 тис. грн.</w:t>
      </w:r>
    </w:p>
    <w:p w14:paraId="1D5E33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1F560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Аналiз кредитної якостi рахункiв у банках (балансова вартiсть) за даними рейтингiв визнаних представлений наступним чином:</w:t>
      </w:r>
    </w:p>
    <w:p w14:paraId="7D93C2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88687C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 xml:space="preserve">2023 рiк  </w:t>
      </w:r>
    </w:p>
    <w:p w14:paraId="4C1337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1837C1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2E16F35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Залишки грошових коштiв на поточних рахунках</w:t>
      </w:r>
      <w:r>
        <w:rPr>
          <w:rFonts w:ascii="Times New Roman CYR" w:hAnsi="Times New Roman CYR" w:cs="Times New Roman CYR"/>
          <w:kern w:val="0"/>
        </w:rPr>
        <w:tab/>
        <w:t>1 732</w:t>
      </w:r>
      <w:r>
        <w:rPr>
          <w:rFonts w:ascii="Times New Roman CYR" w:hAnsi="Times New Roman CYR" w:cs="Times New Roman CYR"/>
          <w:kern w:val="0"/>
        </w:rPr>
        <w:tab/>
        <w:t>21358</w:t>
      </w:r>
    </w:p>
    <w:p w14:paraId="418144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кредитним рейтингом вiд uaAAA до uaAA</w:t>
      </w:r>
      <w:r>
        <w:rPr>
          <w:rFonts w:ascii="Times New Roman CYR" w:hAnsi="Times New Roman CYR" w:cs="Times New Roman CYR"/>
          <w:kern w:val="0"/>
        </w:rPr>
        <w:tab/>
        <w:t>1 732</w:t>
      </w:r>
      <w:r>
        <w:rPr>
          <w:rFonts w:ascii="Times New Roman CYR" w:hAnsi="Times New Roman CYR" w:cs="Times New Roman CYR"/>
          <w:kern w:val="0"/>
        </w:rPr>
        <w:tab/>
        <w:t>21358</w:t>
      </w:r>
    </w:p>
    <w:p w14:paraId="173E95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Кошти на депозитних рахунках</w:t>
      </w:r>
      <w:r>
        <w:rPr>
          <w:rFonts w:ascii="Times New Roman CYR" w:hAnsi="Times New Roman CYR" w:cs="Times New Roman CYR"/>
          <w:kern w:val="0"/>
        </w:rPr>
        <w:tab/>
        <w:t>37 800</w:t>
      </w:r>
      <w:r>
        <w:rPr>
          <w:rFonts w:ascii="Times New Roman CYR" w:hAnsi="Times New Roman CYR" w:cs="Times New Roman CYR"/>
          <w:kern w:val="0"/>
        </w:rPr>
        <w:tab/>
      </w:r>
    </w:p>
    <w:p w14:paraId="56EF13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кредитним рейтингом вiд uaAAA до uaАА</w:t>
      </w:r>
      <w:r>
        <w:rPr>
          <w:rFonts w:ascii="Times New Roman CYR" w:hAnsi="Times New Roman CYR" w:cs="Times New Roman CYR"/>
          <w:kern w:val="0"/>
        </w:rPr>
        <w:tab/>
        <w:t>37 800</w:t>
      </w:r>
      <w:r>
        <w:rPr>
          <w:rFonts w:ascii="Times New Roman CYR" w:hAnsi="Times New Roman CYR" w:cs="Times New Roman CYR"/>
          <w:kern w:val="0"/>
        </w:rPr>
        <w:tab/>
      </w:r>
    </w:p>
    <w:p w14:paraId="2CC382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Усього балансова вартiсть залишкiв, що розмiщенi на рахунках в банках</w:t>
      </w:r>
      <w:r>
        <w:rPr>
          <w:rFonts w:ascii="Times New Roman CYR" w:hAnsi="Times New Roman CYR" w:cs="Times New Roman CYR"/>
          <w:kern w:val="0"/>
        </w:rPr>
        <w:tab/>
      </w:r>
    </w:p>
    <w:p w14:paraId="637BF88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39 532</w:t>
      </w:r>
      <w:r>
        <w:rPr>
          <w:rFonts w:ascii="Times New Roman CYR" w:hAnsi="Times New Roman CYR" w:cs="Times New Roman CYR"/>
          <w:kern w:val="0"/>
        </w:rPr>
        <w:tab/>
      </w:r>
    </w:p>
    <w:p w14:paraId="25FA721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21 358</w:t>
      </w:r>
    </w:p>
    <w:p w14:paraId="13F8B4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728D74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2.8.</w:t>
      </w:r>
      <w:r>
        <w:rPr>
          <w:rFonts w:ascii="Times New Roman CYR" w:hAnsi="Times New Roman CYR" w:cs="Times New Roman CYR"/>
          <w:kern w:val="0"/>
        </w:rPr>
        <w:tab/>
        <w:t>ЧАСТКА ПЕРЕСТРАХОВИКIВ У СТРАХОВИХ РЕЗЕРВАХ (КОД РЯДКА 1180)</w:t>
      </w:r>
    </w:p>
    <w:p w14:paraId="04D8276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36B3A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Оцiнка частки перестраховикiв у резервi довгострокових зобов'язань iз страхування життя здiйснюється у порядку, за яким визначається оцiнка резерву довгострокових зобов'язань iз страхування життя, згiдно з Положенням про формування резервiв зi страхування життя Компанiї, затвердженим Нацiональною Комiсiєю, що здiйснює регулювання у сферi ринкiв фiнансових послуг.</w:t>
      </w:r>
    </w:p>
    <w:p w14:paraId="73A2F7C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E0899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Частка перестраховикiв в резервi довгострокових зобов'язань iз страхування життя визначається щомiсячно.  </w:t>
      </w:r>
    </w:p>
    <w:p w14:paraId="3AE97E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AAECF6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Оцiнка частки перестраховикiв у резервах належних виплат здiйснюється вiдповiдно до умов договору перестрахування. Частка перестраховикiв у резервах належних виплат визначається на дату подання заяви (повiдомлення) про страховий випадок.</w:t>
      </w:r>
    </w:p>
    <w:p w14:paraId="0F5780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AED7A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Передача частини страхового ризику перестраховику не звiльняє Компанiю вiд виконання своїх зобов'язань перед страхувальниками.</w:t>
      </w:r>
    </w:p>
    <w:p w14:paraId="7373D4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DA664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Компанiї впродовж 12 мiсяцiв 2023 р. перевищення частки страхових платежiв, належних перестраховикам, над загальним обсягом страхових платежiв, а також перевищення частки страхових виплат (вiдшкодування), компенсованих перестраховиками, над загальним обсягом сплачених страхових виплат не було.</w:t>
      </w:r>
    </w:p>
    <w:p w14:paraId="33701A2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31.12.2023 р.</w:t>
      </w:r>
    </w:p>
    <w:p w14:paraId="6EA75E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31.12.2024 р.</w:t>
      </w:r>
    </w:p>
    <w:p w14:paraId="25DE27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(тис. грн)</w:t>
      </w:r>
    </w:p>
    <w:p w14:paraId="569B8A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резервах довгострокових зобов'язань</w:t>
      </w:r>
      <w:r>
        <w:rPr>
          <w:rFonts w:ascii="Times New Roman CYR" w:hAnsi="Times New Roman CYR" w:cs="Times New Roman CYR"/>
          <w:kern w:val="0"/>
        </w:rPr>
        <w:tab/>
        <w:t>-</w:t>
      </w:r>
      <w:r>
        <w:rPr>
          <w:rFonts w:ascii="Times New Roman CYR" w:hAnsi="Times New Roman CYR" w:cs="Times New Roman CYR"/>
          <w:kern w:val="0"/>
        </w:rPr>
        <w:tab/>
        <w:t>-</w:t>
      </w:r>
    </w:p>
    <w:p w14:paraId="282A38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резервах належних виплат</w:t>
      </w:r>
      <w:r>
        <w:rPr>
          <w:rFonts w:ascii="Times New Roman CYR" w:hAnsi="Times New Roman CYR" w:cs="Times New Roman CYR"/>
          <w:kern w:val="0"/>
        </w:rPr>
        <w:tab/>
        <w:t>100</w:t>
      </w:r>
      <w:r>
        <w:rPr>
          <w:rFonts w:ascii="Times New Roman CYR" w:hAnsi="Times New Roman CYR" w:cs="Times New Roman CYR"/>
          <w:kern w:val="0"/>
        </w:rPr>
        <w:tab/>
        <w:t>0</w:t>
      </w:r>
    </w:p>
    <w:p w14:paraId="76D2742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Частка перестраховикiв у страхових резервах</w:t>
      </w:r>
      <w:r>
        <w:rPr>
          <w:rFonts w:ascii="Times New Roman CYR" w:hAnsi="Times New Roman CYR" w:cs="Times New Roman CYR"/>
          <w:kern w:val="0"/>
        </w:rPr>
        <w:tab/>
        <w:t>100</w:t>
      </w:r>
      <w:r>
        <w:rPr>
          <w:rFonts w:ascii="Times New Roman CYR" w:hAnsi="Times New Roman CYR" w:cs="Times New Roman CYR"/>
          <w:kern w:val="0"/>
        </w:rPr>
        <w:tab/>
        <w:t>0</w:t>
      </w:r>
    </w:p>
    <w:p w14:paraId="02BFE2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r>
      <w:r>
        <w:rPr>
          <w:rFonts w:ascii="Times New Roman CYR" w:hAnsi="Times New Roman CYR" w:cs="Times New Roman CYR"/>
          <w:kern w:val="0"/>
        </w:rPr>
        <w:tab/>
      </w:r>
    </w:p>
    <w:p w14:paraId="166BACA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2.9.</w:t>
      </w:r>
      <w:r>
        <w:rPr>
          <w:rFonts w:ascii="Times New Roman CYR" w:hAnsi="Times New Roman CYR" w:cs="Times New Roman CYR"/>
          <w:kern w:val="0"/>
        </w:rPr>
        <w:tab/>
        <w:t>ЗАРЕЄСТРОВАНИЙ (ПАЙОВИЙ) КАПIТАЛ, РЕЗЕРВНИЙ КАПIТАЛ, КАПIТАЛ В ДООЦIНКАХ, НЕРОЗПОДIЛЕНИЙ ДОХIД (НЕПОКРИТИЙ ЗБИТОК) (КОДИ РЯДКIВ 1400, 1405, 1415, 1420)</w:t>
      </w:r>
    </w:p>
    <w:p w14:paraId="3BCB83F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993AB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Власний капiтал Компанiї, станом на 31.12.2024 р., в розмiрi 44 780 тис. грн. складається з:</w:t>
      </w:r>
    </w:p>
    <w:p w14:paraId="01309DA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11BB1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"Зареєстрований (Статутний) капiтал" - </w:t>
      </w:r>
      <w:r>
        <w:rPr>
          <w:rFonts w:ascii="Times New Roman CYR" w:hAnsi="Times New Roman CYR" w:cs="Times New Roman CYR"/>
          <w:kern w:val="0"/>
        </w:rPr>
        <w:tab/>
        <w:t>21 000 тис. грн;</w:t>
      </w:r>
    </w:p>
    <w:p w14:paraId="5E72AC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 "Капiтал у дооцiнках" - </w:t>
      </w:r>
      <w:r>
        <w:rPr>
          <w:rFonts w:ascii="Times New Roman CYR" w:hAnsi="Times New Roman CYR" w:cs="Times New Roman CYR"/>
          <w:kern w:val="0"/>
        </w:rPr>
        <w:tab/>
        <w:t>15 972 тис. грн;</w:t>
      </w:r>
    </w:p>
    <w:p w14:paraId="70521E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"Резервний капiтал" -</w:t>
      </w:r>
      <w:r>
        <w:rPr>
          <w:rFonts w:ascii="Times New Roman CYR" w:hAnsi="Times New Roman CYR" w:cs="Times New Roman CYR"/>
          <w:kern w:val="0"/>
        </w:rPr>
        <w:tab/>
        <w:t>659 тис. грн;</w:t>
      </w:r>
    </w:p>
    <w:p w14:paraId="19744A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"Нерозподiлений прибуток (непокритий збиток)" -</w:t>
      </w:r>
      <w:r>
        <w:rPr>
          <w:rFonts w:ascii="Times New Roman CYR" w:hAnsi="Times New Roman CYR" w:cs="Times New Roman CYR"/>
          <w:kern w:val="0"/>
        </w:rPr>
        <w:tab/>
        <w:t>7 149 тис. грн.</w:t>
      </w:r>
    </w:p>
    <w:p w14:paraId="1D67953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9D5000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B6FEA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F740F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Зареєстрований (пайовий) капiтал</w:t>
      </w:r>
    </w:p>
    <w:p w14:paraId="627172D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Кiлькiсть простих акцiй</w:t>
      </w:r>
      <w:r>
        <w:rPr>
          <w:rFonts w:ascii="Times New Roman CYR" w:hAnsi="Times New Roman CYR" w:cs="Times New Roman CYR"/>
          <w:kern w:val="0"/>
        </w:rPr>
        <w:tab/>
        <w:t>Номiнальна вартiсть простих акцiй (грн)</w:t>
      </w:r>
    </w:p>
    <w:p w14:paraId="35502A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31.12.2023 р.</w:t>
      </w:r>
      <w:r>
        <w:rPr>
          <w:rFonts w:ascii="Times New Roman CYR" w:hAnsi="Times New Roman CYR" w:cs="Times New Roman CYR"/>
          <w:kern w:val="0"/>
        </w:rPr>
        <w:tab/>
        <w:t xml:space="preserve">21 000 </w:t>
      </w:r>
      <w:r>
        <w:rPr>
          <w:rFonts w:ascii="Times New Roman CYR" w:hAnsi="Times New Roman CYR" w:cs="Times New Roman CYR"/>
          <w:kern w:val="0"/>
        </w:rPr>
        <w:tab/>
        <w:t>210 000</w:t>
      </w:r>
      <w:r>
        <w:rPr>
          <w:rFonts w:ascii="Times New Roman CYR" w:hAnsi="Times New Roman CYR" w:cs="Times New Roman CYR"/>
          <w:kern w:val="0"/>
        </w:rPr>
        <w:tab/>
        <w:t>100</w:t>
      </w:r>
    </w:p>
    <w:p w14:paraId="5F73B7A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31.12.2022 р.</w:t>
      </w:r>
      <w:r>
        <w:rPr>
          <w:rFonts w:ascii="Times New Roman CYR" w:hAnsi="Times New Roman CYR" w:cs="Times New Roman CYR"/>
          <w:kern w:val="0"/>
        </w:rPr>
        <w:tab/>
        <w:t>21 000</w:t>
      </w:r>
      <w:r>
        <w:rPr>
          <w:rFonts w:ascii="Times New Roman CYR" w:hAnsi="Times New Roman CYR" w:cs="Times New Roman CYR"/>
          <w:kern w:val="0"/>
        </w:rPr>
        <w:tab/>
        <w:t>210 000</w:t>
      </w:r>
      <w:r>
        <w:rPr>
          <w:rFonts w:ascii="Times New Roman CYR" w:hAnsi="Times New Roman CYR" w:cs="Times New Roman CYR"/>
          <w:kern w:val="0"/>
        </w:rPr>
        <w:tab/>
        <w:t>100</w:t>
      </w:r>
    </w:p>
    <w:p w14:paraId="75590F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4B2BF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2024 р. та 2023 р. усi випущенi акцiї Компанiї були зареєстрованi та повнiстю оплаченi.</w:t>
      </w:r>
    </w:p>
    <w:p w14:paraId="085C89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10077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2024 р. та 2023 р. номiнальна вартiсть простих акцiй становила 100,00 гривень за акцiю.</w:t>
      </w:r>
    </w:p>
    <w:p w14:paraId="69ECB4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8C4986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2024 р. та 202 р. власниками iстотної участi Компанiї є:</w:t>
      </w:r>
    </w:p>
    <w:p w14:paraId="6917E2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624A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r>
      <w:r>
        <w:rPr>
          <w:rFonts w:ascii="Times New Roman CYR" w:hAnsi="Times New Roman CYR" w:cs="Times New Roman CYR"/>
          <w:kern w:val="0"/>
        </w:rPr>
        <w:t>АТ "СК "IНГО" (м. Київ, вул. Бульварно-Кудрявська, 33 - кiлькiсть акцiй, що належить акцiонеру, становить 209988 шт., що складає 99,994285% статутного капiталу АТ "СТРАХОВА КОМПАНIЯ "IНГО ЖИТТЯ".</w:t>
      </w:r>
    </w:p>
    <w:p w14:paraId="59CCE7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4D7E9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Статутний капiтал Компанiї сформовано внесками акцiонерiв. Розмiр статутного капiталу зафiксовано в Статутi Компанiї. Збiльшення статутного капiталу у звiтному перiодi не вiдбувалось.</w:t>
      </w:r>
    </w:p>
    <w:p w14:paraId="0A2CE6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7991C6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Акцiї Компанiї вiдображаються в балансi за номiнальною вартiстю. </w:t>
      </w:r>
    </w:p>
    <w:p w14:paraId="47E2D0A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36AF2E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Емiсiйного доходу не було.</w:t>
      </w:r>
    </w:p>
    <w:p w14:paraId="18F655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D409C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Дивiденди за результатами господарської дiяльностi Компанiї за 2023 рiк не нараховувалися.</w:t>
      </w:r>
    </w:p>
    <w:p w14:paraId="72B4EA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У 2024 роцi дивiденди не виплачували.</w:t>
      </w:r>
    </w:p>
    <w:p w14:paraId="218D78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B508E3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Кiлькiсть звичайних акцiй, що перебувають в обiгу (штук)</w:t>
      </w:r>
      <w:r>
        <w:rPr>
          <w:rFonts w:ascii="Times New Roman CYR" w:hAnsi="Times New Roman CYR" w:cs="Times New Roman CYR"/>
          <w:kern w:val="0"/>
        </w:rPr>
        <w:tab/>
        <w:t xml:space="preserve">Акцiонерний капiтал </w:t>
      </w:r>
    </w:p>
    <w:p w14:paraId="6C6D81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401ED4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за станом на 31 грудня 2022 р.</w:t>
      </w:r>
      <w:r>
        <w:rPr>
          <w:rFonts w:ascii="Times New Roman CYR" w:hAnsi="Times New Roman CYR" w:cs="Times New Roman CYR"/>
          <w:kern w:val="0"/>
        </w:rPr>
        <w:tab/>
        <w:t>210 000</w:t>
      </w:r>
      <w:r>
        <w:rPr>
          <w:rFonts w:ascii="Times New Roman CYR" w:hAnsi="Times New Roman CYR" w:cs="Times New Roman CYR"/>
          <w:kern w:val="0"/>
        </w:rPr>
        <w:tab/>
        <w:t>21 000</w:t>
      </w:r>
    </w:p>
    <w:p w14:paraId="79D811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за станом на 31 грудня 2023 р.</w:t>
      </w:r>
      <w:r>
        <w:rPr>
          <w:rFonts w:ascii="Times New Roman CYR" w:hAnsi="Times New Roman CYR" w:cs="Times New Roman CYR"/>
          <w:kern w:val="0"/>
        </w:rPr>
        <w:tab/>
        <w:t>210 000</w:t>
      </w:r>
      <w:r>
        <w:rPr>
          <w:rFonts w:ascii="Times New Roman CYR" w:hAnsi="Times New Roman CYR" w:cs="Times New Roman CYR"/>
          <w:kern w:val="0"/>
        </w:rPr>
        <w:tab/>
        <w:t>21 000</w:t>
      </w:r>
    </w:p>
    <w:p w14:paraId="711C7E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за станом на 31 грудня 2024 р.</w:t>
      </w:r>
      <w:r>
        <w:rPr>
          <w:rFonts w:ascii="Times New Roman CYR" w:hAnsi="Times New Roman CYR" w:cs="Times New Roman CYR"/>
          <w:kern w:val="0"/>
        </w:rPr>
        <w:tab/>
        <w:t>210 000</w:t>
      </w:r>
      <w:r>
        <w:rPr>
          <w:rFonts w:ascii="Times New Roman CYR" w:hAnsi="Times New Roman CYR" w:cs="Times New Roman CYR"/>
          <w:kern w:val="0"/>
        </w:rPr>
        <w:tab/>
        <w:t>21 000</w:t>
      </w:r>
    </w:p>
    <w:p w14:paraId="6D31CC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A854C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Резервний капiтал (фонд) Компанiї створюється у розмiрi не менше 15% статутного капiталу Компанiї i призначається для покриття витрат, пов'язаних iз вiдшкодуванням збиткiв, та запланованих витрат. </w:t>
      </w:r>
    </w:p>
    <w:p w14:paraId="56E14E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C87139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Основною метою Компанiї вiдносно управлiння капiталом є дотримання вимог законодавства України щодо рiвня достатностi капiталу й вимог регуляторних органiв у сферi страхування, дотримання законодавчо встановлених вимог наглядових органiв, а також забезпечення фiнансової стабiльностi Компанiї, її здатностi продовжити здiйснення фiнансово-господарської дiяльностi вiдповiдно до принципу безперервностi дiяльностi.</w:t>
      </w:r>
    </w:p>
    <w:p w14:paraId="0507FD6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E90EE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 грудня 2024 р., на 31 грудня 2023 р., резервний капiтал Компанiї складає 659 тис. грн. та 574 тис. грн вiдповiдно.</w:t>
      </w:r>
    </w:p>
    <w:p w14:paraId="391E34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6CE39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07DDF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7FF36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D5F39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2.10.</w:t>
      </w:r>
      <w:r>
        <w:rPr>
          <w:rFonts w:ascii="Times New Roman CYR" w:hAnsi="Times New Roman CYR" w:cs="Times New Roman CYR"/>
          <w:kern w:val="0"/>
        </w:rPr>
        <w:tab/>
        <w:t>ЗОБОВ'ЯЗАННЯ З ВIДСТРОЧЕНОГО ПОДАТКУ (КОД РЯДКА 1500)</w:t>
      </w:r>
    </w:p>
    <w:p w14:paraId="2EEEC5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910B54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Тимчасовi рiзницi, що виникають мiж балансовою вартiстю активiв i зобов'язань, вiдображеною у фiнансовiй звiтностi, i сумами, що використанi для цiлей розрахункiв оподатковуваної бази, призводять до виникнення вимог з вiдстроченого податку станом на 31 грудня 2024 р. </w:t>
      </w:r>
    </w:p>
    <w:p w14:paraId="31067C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0E2CD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Чистi вiдстроченi податковi зобов'язання </w:t>
      </w:r>
    </w:p>
    <w:p w14:paraId="77F699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A6647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Показник</w:t>
      </w:r>
      <w:r>
        <w:rPr>
          <w:rFonts w:ascii="Times New Roman CYR" w:hAnsi="Times New Roman CYR" w:cs="Times New Roman CYR"/>
          <w:kern w:val="0"/>
        </w:rPr>
        <w:tab/>
        <w:t>Вiдстроченi податковi зобов'язання (тис. грн.)</w:t>
      </w:r>
    </w:p>
    <w:p w14:paraId="50CDD9F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Податковий вплив переоцiнки нерухомостi та вiдстрочених витрат: </w:t>
      </w:r>
    </w:p>
    <w:p w14:paraId="042F9E4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станом на 31.12.2023 р.</w:t>
      </w:r>
      <w:r>
        <w:rPr>
          <w:rFonts w:ascii="Times New Roman CYR" w:hAnsi="Times New Roman CYR" w:cs="Times New Roman CYR"/>
          <w:kern w:val="0"/>
        </w:rPr>
        <w:tab/>
        <w:t>2 642</w:t>
      </w:r>
    </w:p>
    <w:p w14:paraId="31D75FC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Зменшення вiдстроченого податкового зобов'язання за звiтний перiод</w:t>
      </w:r>
      <w:r>
        <w:rPr>
          <w:rFonts w:ascii="Times New Roman CYR" w:hAnsi="Times New Roman CYR" w:cs="Times New Roman CYR"/>
          <w:kern w:val="0"/>
        </w:rPr>
        <w:tab/>
        <w:t>(89)</w:t>
      </w:r>
    </w:p>
    <w:p w14:paraId="2E8173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станом на 31.12.2024 р.</w:t>
      </w:r>
      <w:r>
        <w:rPr>
          <w:rFonts w:ascii="Times New Roman CYR" w:hAnsi="Times New Roman CYR" w:cs="Times New Roman CYR"/>
          <w:kern w:val="0"/>
        </w:rPr>
        <w:tab/>
        <w:t>2 553</w:t>
      </w:r>
    </w:p>
    <w:p w14:paraId="372AE1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319D8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2024 роцi нарахованi ВПЗ згiдно з передбаченою Податковим кодексом України вiд 02.12.2010 р. № 2755-VI ставкою оподаткування податком на прибуток в розмiрi 18%.</w:t>
      </w:r>
    </w:p>
    <w:p w14:paraId="11A2AA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874AEA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2.11.</w:t>
      </w:r>
      <w:r>
        <w:rPr>
          <w:rFonts w:ascii="Times New Roman CYR" w:hAnsi="Times New Roman CYR" w:cs="Times New Roman CYR"/>
          <w:kern w:val="0"/>
        </w:rPr>
        <w:tab/>
        <w:t>СТРАХОВI РЕЗЕРВИ (КОДИ РЯДКIВ 1530, 1531, 1532)</w:t>
      </w:r>
    </w:p>
    <w:p w14:paraId="1F5CEA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A9277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резерви є оцiнкою обсягу зобов'язань Компанiї для здiйснення майбутнiх виплат. У Компанiї формуються такi страховi резерви:</w:t>
      </w:r>
    </w:p>
    <w:p w14:paraId="6FF8BD8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48D144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резерв довгострокових зобов'язань зi страхування життя (математичнi резерви) - визначається за кожним договором страхування життя на основi актуарних розрахункiв; </w:t>
      </w:r>
    </w:p>
    <w:p w14:paraId="2350C9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резерв належних виплат складається з:</w:t>
      </w:r>
    </w:p>
    <w:p w14:paraId="6D5BAD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1CA98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резерву заявлених, але не виплачених збиткiв - визначається за кожною заявленою страховою подiєю на дату подання заяви (повiдомлення) про страховий випадок; </w:t>
      </w:r>
    </w:p>
    <w:p w14:paraId="73A13E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резерву збиткiв, якi виникли але не заявленi - розрахунок здiйснюється iз застосуванням ланцюгового методу (Chain Ladder). Для розрахунку ланцюговим методом беруться данi не менше нiж за 12 перiодiв (кварталiв) сплати (розвитку) збиткiв.</w:t>
      </w:r>
    </w:p>
    <w:p w14:paraId="0BF2D0F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D4801E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Загальна величина сформованих страхових резервiв складає в тому числi:</w:t>
      </w:r>
    </w:p>
    <w:p w14:paraId="4E7ECBA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575E2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 xml:space="preserve">Код </w:t>
      </w:r>
    </w:p>
    <w:p w14:paraId="3FC480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рядка</w:t>
      </w:r>
      <w:r>
        <w:rPr>
          <w:rFonts w:ascii="Times New Roman CYR" w:hAnsi="Times New Roman CYR" w:cs="Times New Roman CYR"/>
          <w:kern w:val="0"/>
        </w:rPr>
        <w:tab/>
        <w:t>31.12.2023 р.</w:t>
      </w:r>
    </w:p>
    <w:p w14:paraId="708913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31.12.2024 р.</w:t>
      </w:r>
    </w:p>
    <w:p w14:paraId="55BB78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13FA10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резерви дов</w:t>
      </w:r>
      <w:r>
        <w:rPr>
          <w:rFonts w:ascii="Times New Roman CYR" w:hAnsi="Times New Roman CYR" w:cs="Times New Roman CYR"/>
          <w:kern w:val="0"/>
        </w:rPr>
        <w:t>гострокових зобов'язань iз страхування життя (математичнi резерви)</w:t>
      </w:r>
      <w:r>
        <w:rPr>
          <w:rFonts w:ascii="Times New Roman CYR" w:hAnsi="Times New Roman CYR" w:cs="Times New Roman CYR"/>
          <w:kern w:val="0"/>
        </w:rPr>
        <w:tab/>
        <w:t>1531</w:t>
      </w:r>
      <w:r>
        <w:rPr>
          <w:rFonts w:ascii="Times New Roman CYR" w:hAnsi="Times New Roman CYR" w:cs="Times New Roman CYR"/>
          <w:kern w:val="0"/>
        </w:rPr>
        <w:tab/>
        <w:t>7 452</w:t>
      </w:r>
      <w:r>
        <w:rPr>
          <w:rFonts w:ascii="Times New Roman CYR" w:hAnsi="Times New Roman CYR" w:cs="Times New Roman CYR"/>
          <w:kern w:val="0"/>
        </w:rPr>
        <w:tab/>
        <w:t>0</w:t>
      </w:r>
    </w:p>
    <w:p w14:paraId="7B4492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резерв належних виплат</w:t>
      </w:r>
      <w:r>
        <w:rPr>
          <w:rFonts w:ascii="Times New Roman CYR" w:hAnsi="Times New Roman CYR" w:cs="Times New Roman CYR"/>
          <w:kern w:val="0"/>
        </w:rPr>
        <w:tab/>
        <w:t>1532</w:t>
      </w:r>
      <w:r>
        <w:rPr>
          <w:rFonts w:ascii="Times New Roman CYR" w:hAnsi="Times New Roman CYR" w:cs="Times New Roman CYR"/>
          <w:kern w:val="0"/>
        </w:rPr>
        <w:tab/>
        <w:t>100</w:t>
      </w:r>
      <w:r>
        <w:rPr>
          <w:rFonts w:ascii="Times New Roman CYR" w:hAnsi="Times New Roman CYR" w:cs="Times New Roman CYR"/>
          <w:kern w:val="0"/>
        </w:rPr>
        <w:tab/>
        <w:t>0</w:t>
      </w:r>
    </w:p>
    <w:p w14:paraId="10A537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Усього страхових резервiв</w:t>
      </w:r>
      <w:r>
        <w:rPr>
          <w:rFonts w:ascii="Times New Roman CYR" w:hAnsi="Times New Roman CYR" w:cs="Times New Roman CYR"/>
          <w:kern w:val="0"/>
        </w:rPr>
        <w:tab/>
        <w:t>1530</w:t>
      </w:r>
      <w:r>
        <w:rPr>
          <w:rFonts w:ascii="Times New Roman CYR" w:hAnsi="Times New Roman CYR" w:cs="Times New Roman CYR"/>
          <w:kern w:val="0"/>
        </w:rPr>
        <w:tab/>
        <w:t>7 552</w:t>
      </w:r>
      <w:r>
        <w:rPr>
          <w:rFonts w:ascii="Times New Roman CYR" w:hAnsi="Times New Roman CYR" w:cs="Times New Roman CYR"/>
          <w:kern w:val="0"/>
        </w:rPr>
        <w:tab/>
        <w:t>0</w:t>
      </w:r>
    </w:p>
    <w:p w14:paraId="2D59826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DED146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B3432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резерви Компанiї сформованi в повному обсязi, вiдповiдно до вимог чинного законодавства. Станом на кожну звiтну дату Компанiя оцiнює, чи є розрахованi страховi резерви адекватними.</w:t>
      </w:r>
    </w:p>
    <w:p w14:paraId="4C748B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E2834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77E57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2.12. </w:t>
      </w:r>
      <w:r>
        <w:rPr>
          <w:rFonts w:ascii="Times New Roman CYR" w:hAnsi="Times New Roman CYR" w:cs="Times New Roman CYR"/>
          <w:kern w:val="0"/>
        </w:rPr>
        <w:tab/>
        <w:t>СТРАХОВА ТА IНША КРЕДИТОРСЬКА ЗАБОРГОВАНIСТЬ (КОДИ РЯДКIВ 1615, 1620, 1625, 1630, 1650), ПОТОЧНI ЗАБЕЗПЕЧЕННЯ (КОД РЯДКА 1660)</w:t>
      </w:r>
    </w:p>
    <w:p w14:paraId="24DF02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A7605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3CB5669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Код</w:t>
      </w:r>
    </w:p>
    <w:p w14:paraId="162E452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рядка</w:t>
      </w:r>
      <w:r>
        <w:rPr>
          <w:rFonts w:ascii="Times New Roman CYR" w:hAnsi="Times New Roman CYR" w:cs="Times New Roman CYR"/>
          <w:kern w:val="0"/>
        </w:rPr>
        <w:tab/>
        <w:t>31 грудня</w:t>
      </w:r>
    </w:p>
    <w:p w14:paraId="081F411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2023 р.</w:t>
      </w:r>
      <w:r>
        <w:rPr>
          <w:rFonts w:ascii="Times New Roman CYR" w:hAnsi="Times New Roman CYR" w:cs="Times New Roman CYR"/>
          <w:kern w:val="0"/>
        </w:rPr>
        <w:tab/>
        <w:t>31 грудня</w:t>
      </w:r>
    </w:p>
    <w:p w14:paraId="321095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2024 р.</w:t>
      </w:r>
    </w:p>
    <w:p w14:paraId="4149E5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Страхова кредиторська заборгованiсть</w:t>
      </w:r>
      <w:r>
        <w:rPr>
          <w:rFonts w:ascii="Times New Roman CYR" w:hAnsi="Times New Roman CYR" w:cs="Times New Roman CYR"/>
          <w:kern w:val="0"/>
        </w:rPr>
        <w:tab/>
      </w:r>
      <w:r>
        <w:rPr>
          <w:rFonts w:ascii="Times New Roman CYR" w:hAnsi="Times New Roman CYR" w:cs="Times New Roman CYR"/>
          <w:kern w:val="0"/>
        </w:rPr>
        <w:tab/>
      </w:r>
      <w:r>
        <w:rPr>
          <w:rFonts w:ascii="Times New Roman CYR" w:hAnsi="Times New Roman CYR" w:cs="Times New Roman CYR"/>
          <w:kern w:val="0"/>
        </w:rPr>
        <w:tab/>
      </w:r>
    </w:p>
    <w:p w14:paraId="4AE45B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Передоплати за страховими премiями</w:t>
      </w:r>
      <w:r>
        <w:rPr>
          <w:rFonts w:ascii="Times New Roman CYR" w:hAnsi="Times New Roman CYR" w:cs="Times New Roman CYR"/>
          <w:kern w:val="0"/>
        </w:rPr>
        <w:tab/>
        <w:t>1650</w:t>
      </w:r>
      <w:r>
        <w:rPr>
          <w:rFonts w:ascii="Times New Roman CYR" w:hAnsi="Times New Roman CYR" w:cs="Times New Roman CYR"/>
          <w:kern w:val="0"/>
        </w:rPr>
        <w:tab/>
        <w:t>0</w:t>
      </w:r>
      <w:r>
        <w:rPr>
          <w:rFonts w:ascii="Times New Roman CYR" w:hAnsi="Times New Roman CYR" w:cs="Times New Roman CYR"/>
          <w:kern w:val="0"/>
        </w:rPr>
        <w:tab/>
        <w:t>0</w:t>
      </w:r>
    </w:p>
    <w:p w14:paraId="358587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Заборгованiсть перед перестраховиками</w:t>
      </w:r>
      <w:r>
        <w:rPr>
          <w:rFonts w:ascii="Times New Roman CYR" w:hAnsi="Times New Roman CYR" w:cs="Times New Roman CYR"/>
          <w:kern w:val="0"/>
        </w:rPr>
        <w:tab/>
        <w:t>1650</w:t>
      </w:r>
      <w:r>
        <w:rPr>
          <w:rFonts w:ascii="Times New Roman CYR" w:hAnsi="Times New Roman CYR" w:cs="Times New Roman CYR"/>
          <w:kern w:val="0"/>
        </w:rPr>
        <w:tab/>
        <w:t>632</w:t>
      </w:r>
      <w:r>
        <w:rPr>
          <w:rFonts w:ascii="Times New Roman CYR" w:hAnsi="Times New Roman CYR" w:cs="Times New Roman CYR"/>
          <w:kern w:val="0"/>
        </w:rPr>
        <w:tab/>
        <w:t>0</w:t>
      </w:r>
    </w:p>
    <w:p w14:paraId="5EABC61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Усього страхової кредиторської заборгованостi</w:t>
      </w:r>
      <w:r>
        <w:rPr>
          <w:rFonts w:ascii="Times New Roman CYR" w:hAnsi="Times New Roman CYR" w:cs="Times New Roman CYR"/>
          <w:kern w:val="0"/>
        </w:rPr>
        <w:tab/>
      </w:r>
      <w:r>
        <w:rPr>
          <w:rFonts w:ascii="Times New Roman CYR" w:hAnsi="Times New Roman CYR" w:cs="Times New Roman CYR"/>
          <w:kern w:val="0"/>
        </w:rPr>
        <w:tab/>
        <w:t>632</w:t>
      </w:r>
      <w:r>
        <w:rPr>
          <w:rFonts w:ascii="Times New Roman CYR" w:hAnsi="Times New Roman CYR" w:cs="Times New Roman CYR"/>
          <w:kern w:val="0"/>
        </w:rPr>
        <w:tab/>
        <w:t>0</w:t>
      </w:r>
    </w:p>
    <w:p w14:paraId="7EDB279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Iнша кредиторська заборгованiсть</w:t>
      </w:r>
    </w:p>
    <w:p w14:paraId="388B81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розрахунками з бюджетом</w:t>
      </w:r>
      <w:r>
        <w:rPr>
          <w:rFonts w:ascii="Times New Roman CYR" w:hAnsi="Times New Roman CYR" w:cs="Times New Roman CYR"/>
          <w:kern w:val="0"/>
        </w:rPr>
        <w:tab/>
        <w:t>1620</w:t>
      </w:r>
      <w:r>
        <w:rPr>
          <w:rFonts w:ascii="Times New Roman CYR" w:hAnsi="Times New Roman CYR" w:cs="Times New Roman CYR"/>
          <w:kern w:val="0"/>
        </w:rPr>
        <w:tab/>
        <w:t>724</w:t>
      </w:r>
      <w:r>
        <w:rPr>
          <w:rFonts w:ascii="Times New Roman CYR" w:hAnsi="Times New Roman CYR" w:cs="Times New Roman CYR"/>
          <w:kern w:val="0"/>
        </w:rPr>
        <w:tab/>
        <w:t>437</w:t>
      </w:r>
    </w:p>
    <w:p w14:paraId="5B0393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За розрахунками з оплати працi</w:t>
      </w:r>
      <w:r>
        <w:rPr>
          <w:rFonts w:ascii="Times New Roman CYR" w:hAnsi="Times New Roman CYR" w:cs="Times New Roman CYR"/>
          <w:kern w:val="0"/>
        </w:rPr>
        <w:tab/>
        <w:t>1630</w:t>
      </w:r>
      <w:r>
        <w:rPr>
          <w:rFonts w:ascii="Times New Roman CYR" w:hAnsi="Times New Roman CYR" w:cs="Times New Roman CYR"/>
          <w:kern w:val="0"/>
        </w:rPr>
        <w:tab/>
        <w:t>34</w:t>
      </w:r>
      <w:r>
        <w:rPr>
          <w:rFonts w:ascii="Times New Roman CYR" w:hAnsi="Times New Roman CYR" w:cs="Times New Roman CYR"/>
          <w:kern w:val="0"/>
        </w:rPr>
        <w:tab/>
        <w:t>3</w:t>
      </w:r>
    </w:p>
    <w:p w14:paraId="333A7C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Усього iншої кредиторської заборгованостi</w:t>
      </w:r>
      <w:r>
        <w:rPr>
          <w:rFonts w:ascii="Times New Roman CYR" w:hAnsi="Times New Roman CYR" w:cs="Times New Roman CYR"/>
          <w:kern w:val="0"/>
        </w:rPr>
        <w:tab/>
      </w:r>
      <w:r>
        <w:rPr>
          <w:rFonts w:ascii="Times New Roman CYR" w:hAnsi="Times New Roman CYR" w:cs="Times New Roman CYR"/>
          <w:kern w:val="0"/>
        </w:rPr>
        <w:tab/>
        <w:t>1 025</w:t>
      </w:r>
      <w:r>
        <w:rPr>
          <w:rFonts w:ascii="Times New Roman CYR" w:hAnsi="Times New Roman CYR" w:cs="Times New Roman CYR"/>
          <w:kern w:val="0"/>
        </w:rPr>
        <w:tab/>
        <w:t>56</w:t>
      </w:r>
    </w:p>
    <w:p w14:paraId="65B51F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Усього страхової та iншої кредиторської заборгованостi</w:t>
      </w:r>
      <w:r>
        <w:rPr>
          <w:rFonts w:ascii="Times New Roman CYR" w:hAnsi="Times New Roman CYR" w:cs="Times New Roman CYR"/>
          <w:kern w:val="0"/>
        </w:rPr>
        <w:tab/>
      </w:r>
      <w:r>
        <w:rPr>
          <w:rFonts w:ascii="Times New Roman CYR" w:hAnsi="Times New Roman CYR" w:cs="Times New Roman CYR"/>
          <w:kern w:val="0"/>
        </w:rPr>
        <w:tab/>
        <w:t>2 415</w:t>
      </w:r>
      <w:r>
        <w:rPr>
          <w:rFonts w:ascii="Times New Roman CYR" w:hAnsi="Times New Roman CYR" w:cs="Times New Roman CYR"/>
          <w:kern w:val="0"/>
        </w:rPr>
        <w:tab/>
        <w:t>496</w:t>
      </w:r>
    </w:p>
    <w:p w14:paraId="70915C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3A5DF9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Зобов'язання за виплатами страхових вiдшкодувань</w:t>
      </w:r>
    </w:p>
    <w:p w14:paraId="5D7E62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9450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Зобов'язання визнаються на дату затвердження страхового акту, який є пiдставою для нарахування в бухгалтерському облiку страхового вiдшкодування, та вiдображаються в балансi за номiнальною вартiстю.  </w:t>
      </w:r>
    </w:p>
    <w:p w14:paraId="58D51C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2C381A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Зобов'язання за розрахунками з перестраховиками</w:t>
      </w:r>
    </w:p>
    <w:p w14:paraId="21507C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7BA20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Зобов'язання визнаються на дату початку дiї договору перестрахування та вiдображаються в облiку вiдповiдно до умов договору перестрахування.</w:t>
      </w:r>
    </w:p>
    <w:p w14:paraId="2A7BBD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82C91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Аванси, отриманi за договорами страхування</w:t>
      </w:r>
    </w:p>
    <w:p w14:paraId="10E8E2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1335D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Попередня оплата - це суми премiї, отриманi до виникнення дебiторської заборгованостi за нарахованими страховими премiями. У зв'язку з цим отриманi суми попередньої оплати вiдображаються як зобов'язання з прямого страхування до початку дiї договору страхування, а також до дати сплати премiї (у разi сплати страхової премiї за чинними договорами ранiше, нiж визначено договором).</w:t>
      </w:r>
    </w:p>
    <w:p w14:paraId="3AA1D9E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E319D1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Заборгованiсть за агентською винагородою страховим агентам</w:t>
      </w:r>
    </w:p>
    <w:p w14:paraId="0063F5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5CE76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Заборгованiсть за агентською винагородою страховим агентам у бухгалтерському облiку визнається на дату пiдписання актiв виконаних робiт iз такими агентами. Сума агентської винагороди визначається вiдповiдно до ставок агентської винагороди, якi встановлюються Правилами страхування, до сплачених страхових платежiв за договорами, укладеними за посередництвом агентiв.</w:t>
      </w:r>
    </w:p>
    <w:p w14:paraId="2C96E48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3C8C4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не отримувала кредитiв та iнших позик протягом звiтного перiоду, у тому числi поворотної фiнансової допомоги. Заборгованiсть за кредитами чи позиками станом на 31.12.2024 р. вiдсутня.</w:t>
      </w:r>
    </w:p>
    <w:p w14:paraId="383277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330040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Iншi поточнi забезпечення включають: </w:t>
      </w:r>
    </w:p>
    <w:p w14:paraId="6416A8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39E71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забезпечення на невикористанi вiдпустки в сумi 56 тис. грн та 86 тис. грн станом на 31 грудня 2024 р. та 31 грудня 2023 р. вiдповiдно; </w:t>
      </w:r>
    </w:p>
    <w:p w14:paraId="4C62810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резерв майбутнiх витрат в сумi 0 тис. грн та 150 тис. грн станом на 31 грудня 2024 р. та 31 грудня 2023 р. вiдповiдно;</w:t>
      </w:r>
    </w:p>
    <w:p w14:paraId="79FD653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iншi забезпечення в сумi 782 грн та 219 тис. грн станом на 31 грудня 2023 р. та 31 грудня 2022 р. вiдповiдно.</w:t>
      </w:r>
    </w:p>
    <w:p w14:paraId="092140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BC4C2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2.13.</w:t>
      </w:r>
      <w:r>
        <w:rPr>
          <w:rFonts w:ascii="Times New Roman CYR" w:hAnsi="Times New Roman CYR" w:cs="Times New Roman CYR"/>
          <w:kern w:val="0"/>
        </w:rPr>
        <w:tab/>
        <w:t xml:space="preserve">ВIДСТРОЧЕНI КОМIСIЙНI ДОХОДИ ВIД ПЕРЕСТРАХОВИКIВ (КОД РЯДКА 1670) </w:t>
      </w:r>
    </w:p>
    <w:p w14:paraId="2672123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13240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вiдстрочених комiсiйних доходiв Компанiї належить вiдстрочений комiсiйний дохiд вiд перестраховикiв у сумi 0 тис. грн. та 0 тис. грн. станом на 31 грудня 2023 р. та 31 грудня 2022 р. вiдповiдно.</w:t>
      </w:r>
    </w:p>
    <w:p w14:paraId="7FE1F50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A82B9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Вiдстрочений комiсiйний дохiд вiд перестраховикiв - це неамортизований залишок комiсiйних винагород, отримуваних вiд перестраховикiв, якi були вiднесенi на майбутнi перiоди, для їх вiдповiдностi премiям, переданим у перестрахування.</w:t>
      </w:r>
    </w:p>
    <w:p w14:paraId="24070D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DA84C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2.14.</w:t>
      </w:r>
      <w:r>
        <w:rPr>
          <w:rFonts w:ascii="Times New Roman CYR" w:hAnsi="Times New Roman CYR" w:cs="Times New Roman CYR"/>
          <w:kern w:val="0"/>
        </w:rPr>
        <w:tab/>
        <w:t>ВИЗНАННЯ ДОХОДIВ I ВИТРАТ</w:t>
      </w:r>
    </w:p>
    <w:p w14:paraId="7C90A5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22CC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премiї за договорами страхування (перестрахування) визнаються доходами в перiод початку дiї договорiв страхування (перестрахування) вiдповiдно до договору страхування.</w:t>
      </w:r>
    </w:p>
    <w:p w14:paraId="560553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552338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премiї за договорами страхування (перестрахування), термiн дiї яких 1 рiк i менше та премiї за якими сплачуються частинами, визнаються доходами в повному обсязi незалежно вiд сплати чергових платежiв. Черговi платежi доходом не визнаються i є погашенням дебiторської заборгованостi страхувальника (перестрахувальника) зi сплати чергових страхових платежiв.</w:t>
      </w:r>
    </w:p>
    <w:p w14:paraId="5D8FEAD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531B6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Страховi премiї за договорами страхування (перестрахування), термiн дiї яких бiльше року та премiї за якими сплачуються частинами щорiчно, визнаються доходами в розмiрi рiчних страхових премiй. За вищевказаними договорами, якi не припиняють своєї дiї у разi несплати чергового рiчного платежу, черговi щорiчнi страховi премiї визнаються доходами у строки, якi вказанi в договорi, а надходження чергових рiчних платежiв за такими договорами доходом не визнаються i є погашенням дебiторської заборгованостi.</w:t>
      </w:r>
    </w:p>
    <w:p w14:paraId="0F31C4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33C0C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Витратами визнається або зменшення активiв, або збiльшення зобов'язань, що призводить до зменшення власного капiталу за умови, що такi витрати можуть бути достовiрно оцiненi. </w:t>
      </w:r>
    </w:p>
    <w:p w14:paraId="31C417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AB31E8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Фiнансовий результат формується в єдинiй облiковiй системi шляхом вiдображення доходiв i витрат вiдповiдного звiтного перiоду.</w:t>
      </w:r>
    </w:p>
    <w:p w14:paraId="54A66B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F6FF99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Фiнансовий результат Компанiї зменшується на суму нарахованого податку на прибуток, який розраховується за правилами податкового облiку. </w:t>
      </w:r>
    </w:p>
    <w:p w14:paraId="55C5DB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28E6D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податку на прибуток Компанiї здiйснюється вiдповiдно до вимог Податкового кодексу України вiд 02.12.2010 р. № 2755-VI (зi змiнами та доповненнями). Доходи вiд страхової дiяльностi оподатковуються за ставкою 0%, 3%, прибуток вiд дiяльностi iншої, нiж страхова - за ставкою 18% у 2022 роцi.</w:t>
      </w:r>
    </w:p>
    <w:p w14:paraId="4D0C28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66F6F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Суми отриманих доходiв та понесених витрат (коди рядкiв 2010, 2050, 2070)</w:t>
      </w:r>
    </w:p>
    <w:p w14:paraId="5C15006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CBC474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4E0757E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0AC4A6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35268FC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Чистi заробленi страховi премiї:</w:t>
      </w:r>
      <w:r>
        <w:rPr>
          <w:rFonts w:ascii="Times New Roman CYR" w:hAnsi="Times New Roman CYR" w:cs="Times New Roman CYR"/>
          <w:kern w:val="0"/>
        </w:rPr>
        <w:tab/>
      </w:r>
      <w:r>
        <w:rPr>
          <w:rFonts w:ascii="Times New Roman CYR" w:hAnsi="Times New Roman CYR" w:cs="Times New Roman CYR"/>
          <w:kern w:val="0"/>
        </w:rPr>
        <w:tab/>
      </w:r>
    </w:p>
    <w:p w14:paraId="236620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Премiї пiдписанi, валова сума</w:t>
      </w:r>
      <w:r>
        <w:rPr>
          <w:rFonts w:ascii="Times New Roman CYR" w:hAnsi="Times New Roman CYR" w:cs="Times New Roman CYR"/>
          <w:kern w:val="0"/>
        </w:rPr>
        <w:tab/>
        <w:t xml:space="preserve">293 </w:t>
      </w:r>
      <w:r>
        <w:rPr>
          <w:rFonts w:ascii="Times New Roman CYR" w:hAnsi="Times New Roman CYR" w:cs="Times New Roman CYR"/>
          <w:kern w:val="0"/>
        </w:rPr>
        <w:tab/>
        <w:t>53</w:t>
      </w:r>
    </w:p>
    <w:p w14:paraId="1FEB683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Премiї, переданi у перестрахування</w:t>
      </w:r>
      <w:r>
        <w:rPr>
          <w:rFonts w:ascii="Times New Roman CYR" w:hAnsi="Times New Roman CYR" w:cs="Times New Roman CYR"/>
          <w:kern w:val="0"/>
        </w:rPr>
        <w:tab/>
        <w:t>0</w:t>
      </w:r>
      <w:r>
        <w:rPr>
          <w:rFonts w:ascii="Times New Roman CYR" w:hAnsi="Times New Roman CYR" w:cs="Times New Roman CYR"/>
          <w:kern w:val="0"/>
        </w:rPr>
        <w:tab/>
        <w:t>0</w:t>
      </w:r>
    </w:p>
    <w:p w14:paraId="250A7B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Всього: </w:t>
      </w:r>
      <w:r>
        <w:rPr>
          <w:rFonts w:ascii="Times New Roman CYR" w:hAnsi="Times New Roman CYR" w:cs="Times New Roman CYR"/>
          <w:kern w:val="0"/>
        </w:rPr>
        <w:tab/>
        <w:t>293</w:t>
      </w:r>
      <w:r>
        <w:rPr>
          <w:rFonts w:ascii="Times New Roman CYR" w:hAnsi="Times New Roman CYR" w:cs="Times New Roman CYR"/>
          <w:kern w:val="0"/>
        </w:rPr>
        <w:tab/>
        <w:t>53</w:t>
      </w:r>
    </w:p>
    <w:p w14:paraId="1E3FDF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Собiвартiсть реалiзованої продукцiї (товарiв, робiт, послуг):</w:t>
      </w:r>
      <w:r>
        <w:rPr>
          <w:rFonts w:ascii="Times New Roman CYR" w:hAnsi="Times New Roman CYR" w:cs="Times New Roman CYR"/>
          <w:kern w:val="0"/>
        </w:rPr>
        <w:tab/>
      </w:r>
      <w:r>
        <w:rPr>
          <w:rFonts w:ascii="Times New Roman CYR" w:hAnsi="Times New Roman CYR" w:cs="Times New Roman CYR"/>
          <w:kern w:val="0"/>
        </w:rPr>
        <w:tab/>
      </w:r>
    </w:p>
    <w:p w14:paraId="1370ED0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Виплати працiвникам та витрати на соцiальнi заходи</w:t>
      </w:r>
      <w:r>
        <w:rPr>
          <w:rFonts w:ascii="Times New Roman CYR" w:hAnsi="Times New Roman CYR" w:cs="Times New Roman CYR"/>
          <w:kern w:val="0"/>
        </w:rPr>
        <w:tab/>
        <w:t>(819)</w:t>
      </w:r>
      <w:r>
        <w:rPr>
          <w:rFonts w:ascii="Times New Roman CYR" w:hAnsi="Times New Roman CYR" w:cs="Times New Roman CYR"/>
          <w:kern w:val="0"/>
        </w:rPr>
        <w:tab/>
        <w:t>(137)</w:t>
      </w:r>
    </w:p>
    <w:p w14:paraId="6E41411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Амортизацiйнi вiдрахування </w:t>
      </w:r>
      <w:r>
        <w:rPr>
          <w:rFonts w:ascii="Times New Roman CYR" w:hAnsi="Times New Roman CYR" w:cs="Times New Roman CYR"/>
          <w:kern w:val="0"/>
        </w:rPr>
        <w:tab/>
        <w:t>(712</w:t>
      </w:r>
      <w:r>
        <w:rPr>
          <w:rFonts w:ascii="Times New Roman CYR" w:hAnsi="Times New Roman CYR" w:cs="Times New Roman CYR"/>
          <w:kern w:val="0"/>
        </w:rPr>
        <w:tab/>
        <w:t>(707)</w:t>
      </w:r>
    </w:p>
    <w:p w14:paraId="5869EC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Iншi витрати </w:t>
      </w:r>
      <w:r>
        <w:rPr>
          <w:rFonts w:ascii="Times New Roman CYR" w:hAnsi="Times New Roman CYR" w:cs="Times New Roman CYR"/>
          <w:kern w:val="0"/>
        </w:rPr>
        <w:tab/>
        <w:t>(54)</w:t>
      </w:r>
      <w:r>
        <w:rPr>
          <w:rFonts w:ascii="Times New Roman CYR" w:hAnsi="Times New Roman CYR" w:cs="Times New Roman CYR"/>
          <w:kern w:val="0"/>
        </w:rPr>
        <w:tab/>
        <w:t>(156)</w:t>
      </w:r>
    </w:p>
    <w:p w14:paraId="72ACC8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Всього: </w:t>
      </w:r>
      <w:r>
        <w:rPr>
          <w:rFonts w:ascii="Times New Roman CYR" w:hAnsi="Times New Roman CYR" w:cs="Times New Roman CYR"/>
          <w:kern w:val="0"/>
        </w:rPr>
        <w:tab/>
        <w:t>(1 585)</w:t>
      </w:r>
      <w:r>
        <w:rPr>
          <w:rFonts w:ascii="Times New Roman CYR" w:hAnsi="Times New Roman CYR" w:cs="Times New Roman CYR"/>
          <w:kern w:val="0"/>
        </w:rPr>
        <w:tab/>
        <w:t>(1 000)</w:t>
      </w:r>
    </w:p>
    <w:p w14:paraId="699BC5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Чистi понесенi збитки за страховими виплатами</w:t>
      </w:r>
      <w:r>
        <w:rPr>
          <w:rFonts w:ascii="Times New Roman CYR" w:hAnsi="Times New Roman CYR" w:cs="Times New Roman CYR"/>
          <w:kern w:val="0"/>
        </w:rPr>
        <w:tab/>
        <w:t>(4 522)</w:t>
      </w:r>
      <w:r>
        <w:rPr>
          <w:rFonts w:ascii="Times New Roman CYR" w:hAnsi="Times New Roman CYR" w:cs="Times New Roman CYR"/>
          <w:kern w:val="0"/>
        </w:rPr>
        <w:tab/>
        <w:t>(6 433)</w:t>
      </w:r>
    </w:p>
    <w:p w14:paraId="17EA326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E9BE48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Змiна страхових резервiв (коди рядкiв 2105, 2110)</w:t>
      </w:r>
    </w:p>
    <w:p w14:paraId="0D9A93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E06CB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65CC39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66CB4FB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20BE20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вiд змiни у резервах довгострокових зобов'язань</w:t>
      </w:r>
      <w:r>
        <w:rPr>
          <w:rFonts w:ascii="Times New Roman CYR" w:hAnsi="Times New Roman CYR" w:cs="Times New Roman CYR"/>
          <w:kern w:val="0"/>
        </w:rPr>
        <w:tab/>
        <w:t>3 075</w:t>
      </w:r>
      <w:r>
        <w:rPr>
          <w:rFonts w:ascii="Times New Roman CYR" w:hAnsi="Times New Roman CYR" w:cs="Times New Roman CYR"/>
          <w:kern w:val="0"/>
        </w:rPr>
        <w:tab/>
        <w:t>7 452</w:t>
      </w:r>
    </w:p>
    <w:p w14:paraId="38E66D5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Дохiд вiд змiни iнших страхових резервiв</w:t>
      </w:r>
      <w:r>
        <w:rPr>
          <w:rFonts w:ascii="Times New Roman CYR" w:hAnsi="Times New Roman CYR" w:cs="Times New Roman CYR"/>
          <w:kern w:val="0"/>
        </w:rPr>
        <w:tab/>
        <w:t>4</w:t>
      </w:r>
      <w:r>
        <w:rPr>
          <w:rFonts w:ascii="Times New Roman CYR" w:hAnsi="Times New Roman CYR" w:cs="Times New Roman CYR"/>
          <w:kern w:val="0"/>
        </w:rPr>
        <w:tab/>
        <w:t>0</w:t>
      </w:r>
    </w:p>
    <w:p w14:paraId="7AFD858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3 079</w:t>
      </w:r>
      <w:r>
        <w:rPr>
          <w:rFonts w:ascii="Times New Roman CYR" w:hAnsi="Times New Roman CYR" w:cs="Times New Roman CYR"/>
          <w:kern w:val="0"/>
        </w:rPr>
        <w:tab/>
        <w:t>7 452</w:t>
      </w:r>
    </w:p>
    <w:p w14:paraId="6AF7C36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E11793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доходи (коди рядкiв 2220, 2240)</w:t>
      </w:r>
    </w:p>
    <w:p w14:paraId="3F6482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DE7DB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доходи за рiк, що закiнчився 31 грудня, представленi таким чином:</w:t>
      </w:r>
    </w:p>
    <w:p w14:paraId="12D03C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9A6C9A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6E9266B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017BD8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0735DB1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Процентнi доходи за депозитами та залишками</w:t>
      </w:r>
    </w:p>
    <w:p w14:paraId="3822EF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поточних рахунках</w:t>
      </w:r>
      <w:r>
        <w:rPr>
          <w:rFonts w:ascii="Times New Roman CYR" w:hAnsi="Times New Roman CYR" w:cs="Times New Roman CYR"/>
          <w:kern w:val="0"/>
        </w:rPr>
        <w:tab/>
        <w:t>7 109</w:t>
      </w:r>
      <w:r>
        <w:rPr>
          <w:rFonts w:ascii="Times New Roman CYR" w:hAnsi="Times New Roman CYR" w:cs="Times New Roman CYR"/>
          <w:kern w:val="0"/>
        </w:rPr>
        <w:tab/>
        <w:t>3 904</w:t>
      </w:r>
    </w:p>
    <w:p w14:paraId="2F5666C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Доходи вiд операцiй з ОВДП</w:t>
      </w:r>
      <w:r>
        <w:rPr>
          <w:rFonts w:ascii="Times New Roman CYR" w:hAnsi="Times New Roman CYR" w:cs="Times New Roman CYR"/>
          <w:kern w:val="0"/>
        </w:rPr>
        <w:tab/>
        <w:t>1 263</w:t>
      </w:r>
      <w:r>
        <w:rPr>
          <w:rFonts w:ascii="Times New Roman CYR" w:hAnsi="Times New Roman CYR" w:cs="Times New Roman CYR"/>
          <w:kern w:val="0"/>
        </w:rPr>
        <w:tab/>
      </w:r>
    </w:p>
    <w:p w14:paraId="20B18D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8 372</w:t>
      </w:r>
      <w:r>
        <w:rPr>
          <w:rFonts w:ascii="Times New Roman CYR" w:hAnsi="Times New Roman CYR" w:cs="Times New Roman CYR"/>
          <w:kern w:val="0"/>
        </w:rPr>
        <w:tab/>
        <w:t>3 904</w:t>
      </w:r>
    </w:p>
    <w:p w14:paraId="5684A9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A67071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зазнає впливу коливань ринкових процентних ставок на свiй фiнансовий стан та грошовi потоки. Процентна маржа може збiльшуватися або зменшуватися в результатi таких змiн або призводити до збиткiв у разi виникнення несподiваних змiн.</w:t>
      </w:r>
    </w:p>
    <w:p w14:paraId="1D86C4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63904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операцiйнi доходи (код рядка 2120)</w:t>
      </w:r>
    </w:p>
    <w:p w14:paraId="646BB1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28639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операцiйнi доходи за рiк, що закiнчився 31 грудня, представленi так:</w:t>
      </w:r>
    </w:p>
    <w:p w14:paraId="424753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551D2E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6F14F68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2042 рiк</w:t>
      </w:r>
    </w:p>
    <w:p w14:paraId="1241A6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7B8E1B5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ведення справи</w:t>
      </w:r>
      <w:r>
        <w:rPr>
          <w:rFonts w:ascii="Times New Roman CYR" w:hAnsi="Times New Roman CYR" w:cs="Times New Roman CYR"/>
          <w:kern w:val="0"/>
        </w:rPr>
        <w:tab/>
        <w:t>0</w:t>
      </w:r>
      <w:r>
        <w:rPr>
          <w:rFonts w:ascii="Times New Roman CYR" w:hAnsi="Times New Roman CYR" w:cs="Times New Roman CYR"/>
          <w:kern w:val="0"/>
        </w:rPr>
        <w:tab/>
        <w:t>0</w:t>
      </w:r>
    </w:p>
    <w:p w14:paraId="15BCE2E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Комiсiйна винагорода перестрахувальника</w:t>
      </w:r>
      <w:r>
        <w:rPr>
          <w:rFonts w:ascii="Times New Roman CYR" w:hAnsi="Times New Roman CYR" w:cs="Times New Roman CYR"/>
          <w:kern w:val="0"/>
        </w:rPr>
        <w:tab/>
        <w:t>0</w:t>
      </w:r>
      <w:r>
        <w:rPr>
          <w:rFonts w:ascii="Times New Roman CYR" w:hAnsi="Times New Roman CYR" w:cs="Times New Roman CYR"/>
          <w:kern w:val="0"/>
        </w:rPr>
        <w:tab/>
        <w:t>0</w:t>
      </w:r>
    </w:p>
    <w:p w14:paraId="0A58A3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Дохiд вiд операцiй з валютою</w:t>
      </w:r>
      <w:r>
        <w:rPr>
          <w:rFonts w:ascii="Times New Roman CYR" w:hAnsi="Times New Roman CYR" w:cs="Times New Roman CYR"/>
          <w:kern w:val="0"/>
        </w:rPr>
        <w:tab/>
        <w:t>0</w:t>
      </w:r>
      <w:r>
        <w:rPr>
          <w:rFonts w:ascii="Times New Roman CYR" w:hAnsi="Times New Roman CYR" w:cs="Times New Roman CYR"/>
          <w:kern w:val="0"/>
        </w:rPr>
        <w:tab/>
        <w:t>0</w:t>
      </w:r>
    </w:p>
    <w:p w14:paraId="05902BE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Дохiд вiд списання кредиторської заборгованостi</w:t>
      </w:r>
      <w:r>
        <w:rPr>
          <w:rFonts w:ascii="Times New Roman CYR" w:hAnsi="Times New Roman CYR" w:cs="Times New Roman CYR"/>
          <w:kern w:val="0"/>
        </w:rPr>
        <w:tab/>
        <w:t>0</w:t>
      </w:r>
      <w:r>
        <w:rPr>
          <w:rFonts w:ascii="Times New Roman CYR" w:hAnsi="Times New Roman CYR" w:cs="Times New Roman CYR"/>
          <w:kern w:val="0"/>
        </w:rPr>
        <w:tab/>
        <w:t>0</w:t>
      </w:r>
    </w:p>
    <w:p w14:paraId="06F083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доходи</w:t>
      </w:r>
      <w:r>
        <w:rPr>
          <w:rFonts w:ascii="Times New Roman CYR" w:hAnsi="Times New Roman CYR" w:cs="Times New Roman CYR"/>
          <w:kern w:val="0"/>
        </w:rPr>
        <w:tab/>
        <w:t>715</w:t>
      </w:r>
      <w:r>
        <w:rPr>
          <w:rFonts w:ascii="Times New Roman CYR" w:hAnsi="Times New Roman CYR" w:cs="Times New Roman CYR"/>
          <w:kern w:val="0"/>
        </w:rPr>
        <w:tab/>
        <w:t>568</w:t>
      </w:r>
    </w:p>
    <w:p w14:paraId="53EFA06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715</w:t>
      </w:r>
      <w:r>
        <w:rPr>
          <w:rFonts w:ascii="Times New Roman CYR" w:hAnsi="Times New Roman CYR" w:cs="Times New Roman CYR"/>
          <w:kern w:val="0"/>
        </w:rPr>
        <w:tab/>
        <w:t>568</w:t>
      </w:r>
    </w:p>
    <w:p w14:paraId="2AE970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8804EC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Адмiнiстративнi витрати (код рядка 2130)</w:t>
      </w:r>
    </w:p>
    <w:p w14:paraId="4D59F9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FCAAC8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Адмiнiстративнi витрати за рiк, що закiнчився 31 грудня, представленi так:</w:t>
      </w:r>
    </w:p>
    <w:p w14:paraId="6D4A31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25AEA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04E2FE0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1339127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0F87101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Виплати працiвникам та на соцiальнi заходи</w:t>
      </w:r>
      <w:r>
        <w:rPr>
          <w:rFonts w:ascii="Times New Roman CYR" w:hAnsi="Times New Roman CYR" w:cs="Times New Roman CYR"/>
          <w:kern w:val="0"/>
        </w:rPr>
        <w:tab/>
        <w:t>1 803</w:t>
      </w:r>
      <w:r>
        <w:rPr>
          <w:rFonts w:ascii="Times New Roman CYR" w:hAnsi="Times New Roman CYR" w:cs="Times New Roman CYR"/>
          <w:kern w:val="0"/>
        </w:rPr>
        <w:tab/>
        <w:t>1 604</w:t>
      </w:r>
    </w:p>
    <w:p w14:paraId="4B82060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автотранспорт</w:t>
      </w:r>
      <w:r>
        <w:rPr>
          <w:rFonts w:ascii="Times New Roman CYR" w:hAnsi="Times New Roman CYR" w:cs="Times New Roman CYR"/>
          <w:kern w:val="0"/>
        </w:rPr>
        <w:tab/>
        <w:t>120</w:t>
      </w:r>
      <w:r>
        <w:rPr>
          <w:rFonts w:ascii="Times New Roman CYR" w:hAnsi="Times New Roman CYR" w:cs="Times New Roman CYR"/>
          <w:kern w:val="0"/>
        </w:rPr>
        <w:tab/>
        <w:t>142</w:t>
      </w:r>
    </w:p>
    <w:p w14:paraId="562EC8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Амортизацiя</w:t>
      </w:r>
      <w:r>
        <w:rPr>
          <w:rFonts w:ascii="Times New Roman CYR" w:hAnsi="Times New Roman CYR" w:cs="Times New Roman CYR"/>
          <w:kern w:val="0"/>
        </w:rPr>
        <w:tab/>
        <w:t>79</w:t>
      </w:r>
      <w:r>
        <w:rPr>
          <w:rFonts w:ascii="Times New Roman CYR" w:hAnsi="Times New Roman CYR" w:cs="Times New Roman CYR"/>
          <w:kern w:val="0"/>
        </w:rPr>
        <w:tab/>
        <w:t>79</w:t>
      </w:r>
    </w:p>
    <w:p w14:paraId="5BC38EE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Послуги банкiв</w:t>
      </w:r>
      <w:r>
        <w:rPr>
          <w:rFonts w:ascii="Times New Roman CYR" w:hAnsi="Times New Roman CYR" w:cs="Times New Roman CYR"/>
          <w:kern w:val="0"/>
        </w:rPr>
        <w:tab/>
        <w:t>56</w:t>
      </w:r>
      <w:r>
        <w:rPr>
          <w:rFonts w:ascii="Times New Roman CYR" w:hAnsi="Times New Roman CYR" w:cs="Times New Roman CYR"/>
          <w:kern w:val="0"/>
        </w:rPr>
        <w:tab/>
        <w:t>22</w:t>
      </w:r>
    </w:p>
    <w:p w14:paraId="784DA16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вiдрядження та представницькi витрати</w:t>
      </w:r>
      <w:r>
        <w:rPr>
          <w:rFonts w:ascii="Times New Roman CYR" w:hAnsi="Times New Roman CYR" w:cs="Times New Roman CYR"/>
          <w:kern w:val="0"/>
        </w:rPr>
        <w:tab/>
        <w:t>39</w:t>
      </w:r>
      <w:r>
        <w:rPr>
          <w:rFonts w:ascii="Times New Roman CYR" w:hAnsi="Times New Roman CYR" w:cs="Times New Roman CYR"/>
          <w:kern w:val="0"/>
        </w:rPr>
        <w:tab/>
        <w:t>0</w:t>
      </w:r>
    </w:p>
    <w:p w14:paraId="553618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аудит та юридичнi послуги</w:t>
      </w:r>
      <w:r>
        <w:rPr>
          <w:rFonts w:ascii="Times New Roman CYR" w:hAnsi="Times New Roman CYR" w:cs="Times New Roman CYR"/>
          <w:kern w:val="0"/>
        </w:rPr>
        <w:tab/>
        <w:t>100</w:t>
      </w:r>
      <w:r>
        <w:rPr>
          <w:rFonts w:ascii="Times New Roman CYR" w:hAnsi="Times New Roman CYR" w:cs="Times New Roman CYR"/>
          <w:kern w:val="0"/>
        </w:rPr>
        <w:tab/>
        <w:t>246</w:t>
      </w:r>
    </w:p>
    <w:p w14:paraId="174976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Консультацiйнi послуги</w:t>
      </w:r>
      <w:r>
        <w:rPr>
          <w:rFonts w:ascii="Times New Roman CYR" w:hAnsi="Times New Roman CYR" w:cs="Times New Roman CYR"/>
          <w:kern w:val="0"/>
        </w:rPr>
        <w:tab/>
        <w:t>321</w:t>
      </w:r>
      <w:r>
        <w:rPr>
          <w:rFonts w:ascii="Times New Roman CYR" w:hAnsi="Times New Roman CYR" w:cs="Times New Roman CYR"/>
          <w:kern w:val="0"/>
        </w:rPr>
        <w:tab/>
        <w:t>0</w:t>
      </w:r>
    </w:p>
    <w:p w14:paraId="784C0B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iншi податки</w:t>
      </w:r>
      <w:r>
        <w:rPr>
          <w:rFonts w:ascii="Times New Roman CYR" w:hAnsi="Times New Roman CYR" w:cs="Times New Roman CYR"/>
          <w:kern w:val="0"/>
        </w:rPr>
        <w:tab/>
        <w:t>54</w:t>
      </w:r>
      <w:r>
        <w:rPr>
          <w:rFonts w:ascii="Times New Roman CYR" w:hAnsi="Times New Roman CYR" w:cs="Times New Roman CYR"/>
          <w:kern w:val="0"/>
        </w:rPr>
        <w:tab/>
        <w:t>57</w:t>
      </w:r>
    </w:p>
    <w:p w14:paraId="185618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витрати</w:t>
      </w:r>
      <w:r>
        <w:rPr>
          <w:rFonts w:ascii="Times New Roman CYR" w:hAnsi="Times New Roman CYR" w:cs="Times New Roman CYR"/>
          <w:kern w:val="0"/>
        </w:rPr>
        <w:tab/>
        <w:t>55</w:t>
      </w:r>
      <w:r>
        <w:rPr>
          <w:rFonts w:ascii="Times New Roman CYR" w:hAnsi="Times New Roman CYR" w:cs="Times New Roman CYR"/>
          <w:kern w:val="0"/>
        </w:rPr>
        <w:tab/>
        <w:t>226</w:t>
      </w:r>
    </w:p>
    <w:p w14:paraId="39F73E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2 627</w:t>
      </w:r>
      <w:r>
        <w:rPr>
          <w:rFonts w:ascii="Times New Roman CYR" w:hAnsi="Times New Roman CYR" w:cs="Times New Roman CYR"/>
          <w:kern w:val="0"/>
        </w:rPr>
        <w:tab/>
        <w:t>2 376</w:t>
      </w:r>
    </w:p>
    <w:p w14:paraId="5D3780B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551D76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збут (код рядка 2150)</w:t>
      </w:r>
    </w:p>
    <w:p w14:paraId="1FC16B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A581C5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на збут за рiк, що закiнчився 31 грудня, представленi так:</w:t>
      </w:r>
    </w:p>
    <w:p w14:paraId="0143997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96205C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60845D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510734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1C87FE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Винагорода брокерам та агентам</w:t>
      </w:r>
      <w:r>
        <w:rPr>
          <w:rFonts w:ascii="Times New Roman CYR" w:hAnsi="Times New Roman CYR" w:cs="Times New Roman CYR"/>
          <w:kern w:val="0"/>
        </w:rPr>
        <w:tab/>
        <w:t>0</w:t>
      </w:r>
      <w:r>
        <w:rPr>
          <w:rFonts w:ascii="Times New Roman CYR" w:hAnsi="Times New Roman CYR" w:cs="Times New Roman CYR"/>
          <w:kern w:val="0"/>
        </w:rPr>
        <w:tab/>
        <w:t>0</w:t>
      </w:r>
    </w:p>
    <w:p w14:paraId="2846460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0</w:t>
      </w:r>
      <w:r>
        <w:rPr>
          <w:rFonts w:ascii="Times New Roman CYR" w:hAnsi="Times New Roman CYR" w:cs="Times New Roman CYR"/>
          <w:kern w:val="0"/>
        </w:rPr>
        <w:tab/>
        <w:t xml:space="preserve"> 0</w:t>
      </w:r>
    </w:p>
    <w:p w14:paraId="2AFA43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операцiйнi витрати (код рядка 2180)</w:t>
      </w:r>
    </w:p>
    <w:p w14:paraId="5DF009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C9A69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Iншi операцiйнi витрати за рiк, що закiнчився 31 грудня, представленi наступним чином:</w:t>
      </w:r>
    </w:p>
    <w:p w14:paraId="2AC8E7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86ECD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4DD5FA8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24FA122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2896F93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Витрати вiд операцiй з валютою</w:t>
      </w:r>
      <w:r>
        <w:rPr>
          <w:rFonts w:ascii="Times New Roman CYR" w:hAnsi="Times New Roman CYR" w:cs="Times New Roman CYR"/>
          <w:kern w:val="0"/>
        </w:rPr>
        <w:tab/>
        <w:t>(78)</w:t>
      </w:r>
      <w:r>
        <w:rPr>
          <w:rFonts w:ascii="Times New Roman CYR" w:hAnsi="Times New Roman CYR" w:cs="Times New Roman CYR"/>
          <w:kern w:val="0"/>
        </w:rPr>
        <w:tab/>
        <w:t>(23)</w:t>
      </w:r>
    </w:p>
    <w:p w14:paraId="42E4BD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Всього:</w:t>
      </w:r>
      <w:r>
        <w:rPr>
          <w:rFonts w:ascii="Times New Roman CYR" w:hAnsi="Times New Roman CYR" w:cs="Times New Roman CYR"/>
          <w:kern w:val="0"/>
        </w:rPr>
        <w:tab/>
        <w:t>(78)</w:t>
      </w:r>
      <w:r>
        <w:rPr>
          <w:rFonts w:ascii="Times New Roman CYR" w:hAnsi="Times New Roman CYR" w:cs="Times New Roman CYR"/>
          <w:kern w:val="0"/>
        </w:rPr>
        <w:tab/>
        <w:t>(23)</w:t>
      </w:r>
    </w:p>
    <w:p w14:paraId="5C4B97D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B0DD2F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витрати (код рядка 2250)</w:t>
      </w:r>
    </w:p>
    <w:p w14:paraId="3C63848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0E11D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витрати за рiк, що закiнчився 31 грудня, представленi таким чином:</w:t>
      </w:r>
    </w:p>
    <w:p w14:paraId="672ABA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D4DDD1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5F2763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052D26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301A05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Амортизацiя ОВДП</w:t>
      </w:r>
      <w:r>
        <w:rPr>
          <w:rFonts w:ascii="Times New Roman CYR" w:hAnsi="Times New Roman CYR" w:cs="Times New Roman CYR"/>
          <w:kern w:val="0"/>
        </w:rPr>
        <w:tab/>
        <w:t>268</w:t>
      </w:r>
      <w:r>
        <w:rPr>
          <w:rFonts w:ascii="Times New Roman CYR" w:hAnsi="Times New Roman CYR" w:cs="Times New Roman CYR"/>
          <w:kern w:val="0"/>
        </w:rPr>
        <w:tab/>
        <w:t>0</w:t>
      </w:r>
    </w:p>
    <w:p w14:paraId="7145BFF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268</w:t>
      </w:r>
      <w:r>
        <w:rPr>
          <w:rFonts w:ascii="Times New Roman CYR" w:hAnsi="Times New Roman CYR" w:cs="Times New Roman CYR"/>
          <w:kern w:val="0"/>
        </w:rPr>
        <w:tab/>
        <w:t>0</w:t>
      </w:r>
    </w:p>
    <w:p w14:paraId="1BE1D25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14F90F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478945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2.15 Податок на прибуток (код рядка 2300, 2455)</w:t>
      </w:r>
    </w:p>
    <w:p w14:paraId="40DFB4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1103C1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Сума витрат з податку на прибуток за роки, що закiнчилися 31 грудня 2023 р. та 31 грудня 2024 р., включала 697 тис. грн та 459 тис. грн вiдповiдно.</w:t>
      </w:r>
    </w:p>
    <w:p w14:paraId="46DE80C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0FFD34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компоненти витрат з податку на прибуток за роки що закiнчилися 31 грудня представленi так:</w:t>
      </w:r>
    </w:p>
    <w:p w14:paraId="5159E5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0C61FA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4BB89CA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045DEC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224DE83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Поточний податок на прибуток 18%</w:t>
      </w:r>
      <w:r>
        <w:rPr>
          <w:rFonts w:ascii="Times New Roman CYR" w:hAnsi="Times New Roman CYR" w:cs="Times New Roman CYR"/>
          <w:kern w:val="0"/>
        </w:rPr>
        <w:tab/>
        <w:t>696</w:t>
      </w:r>
      <w:r>
        <w:rPr>
          <w:rFonts w:ascii="Times New Roman CYR" w:hAnsi="Times New Roman CYR" w:cs="Times New Roman CYR"/>
          <w:kern w:val="0"/>
        </w:rPr>
        <w:tab/>
        <w:t>457</w:t>
      </w:r>
    </w:p>
    <w:p w14:paraId="21D25C6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Поточний податок на прибуток 3%</w:t>
      </w:r>
      <w:r>
        <w:rPr>
          <w:rFonts w:ascii="Times New Roman CYR" w:hAnsi="Times New Roman CYR" w:cs="Times New Roman CYR"/>
          <w:kern w:val="0"/>
        </w:rPr>
        <w:tab/>
        <w:t>1</w:t>
      </w:r>
      <w:r>
        <w:rPr>
          <w:rFonts w:ascii="Times New Roman CYR" w:hAnsi="Times New Roman CYR" w:cs="Times New Roman CYR"/>
          <w:kern w:val="0"/>
        </w:rPr>
        <w:tab/>
        <w:t>2</w:t>
      </w:r>
    </w:p>
    <w:p w14:paraId="1E2E92E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Дохiд по вiдстроченому податку</w:t>
      </w:r>
      <w:r>
        <w:rPr>
          <w:rFonts w:ascii="Times New Roman CYR" w:hAnsi="Times New Roman CYR" w:cs="Times New Roman CYR"/>
          <w:kern w:val="0"/>
        </w:rPr>
        <w:tab/>
        <w:t>0</w:t>
      </w:r>
      <w:r>
        <w:rPr>
          <w:rFonts w:ascii="Times New Roman CYR" w:hAnsi="Times New Roman CYR" w:cs="Times New Roman CYR"/>
          <w:kern w:val="0"/>
        </w:rPr>
        <w:tab/>
        <w:t>0</w:t>
      </w:r>
    </w:p>
    <w:p w14:paraId="7BC6CBC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Всього:</w:t>
      </w:r>
      <w:r>
        <w:rPr>
          <w:rFonts w:ascii="Times New Roman CYR" w:hAnsi="Times New Roman CYR" w:cs="Times New Roman CYR"/>
          <w:kern w:val="0"/>
        </w:rPr>
        <w:tab/>
        <w:t>697</w:t>
      </w:r>
      <w:r>
        <w:rPr>
          <w:rFonts w:ascii="Times New Roman CYR" w:hAnsi="Times New Roman CYR" w:cs="Times New Roman CYR"/>
          <w:kern w:val="0"/>
        </w:rPr>
        <w:tab/>
        <w:t>459</w:t>
      </w:r>
    </w:p>
    <w:p w14:paraId="1484C16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3FB54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Податок на прибуток, пов'язаний з iншим </w:t>
      </w:r>
    </w:p>
    <w:p w14:paraId="1BDE9C7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сукупним доходом (дооцiнка/уцiнка </w:t>
      </w:r>
    </w:p>
    <w:p w14:paraId="462550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необоротних активiв)                                                 </w:t>
      </w:r>
      <w:r>
        <w:rPr>
          <w:rFonts w:ascii="Times New Roman CYR" w:hAnsi="Times New Roman CYR" w:cs="Times New Roman CYR"/>
          <w:kern w:val="0"/>
        </w:rPr>
        <w:tab/>
      </w:r>
      <w:r>
        <w:rPr>
          <w:rFonts w:ascii="Times New Roman CYR" w:hAnsi="Times New Roman CYR" w:cs="Times New Roman CYR"/>
          <w:kern w:val="0"/>
        </w:rPr>
        <w:tab/>
        <w:t>115</w:t>
      </w:r>
      <w:r>
        <w:rPr>
          <w:rFonts w:ascii="Times New Roman CYR" w:hAnsi="Times New Roman CYR" w:cs="Times New Roman CYR"/>
          <w:kern w:val="0"/>
        </w:rPr>
        <w:tab/>
      </w:r>
      <w:r>
        <w:rPr>
          <w:rFonts w:ascii="Times New Roman CYR" w:hAnsi="Times New Roman CYR" w:cs="Times New Roman CYR"/>
          <w:kern w:val="0"/>
        </w:rPr>
        <w:tab/>
        <w:t>115</w:t>
      </w:r>
    </w:p>
    <w:p w14:paraId="208B65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EC49B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Рух грошових коштiв</w:t>
      </w:r>
    </w:p>
    <w:p w14:paraId="778F96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A806FF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звiтi про рух грошових коштiв вiдображаються джерела отримання Компанiєю готiвкових та безготiвкових коштiв, напрямки їх використання у звiтному перiодi, рух грошових коштiв за звiтний перiод залежно вiд виду дiяльностi (операцiйна, iнвестицiйна, фiнансова). Результат змiн у русi грошових коштiв у процесi операцiйної, iнвестицiйної та фiнансової дiяльностi вiдповiдає змiнам у грошових коштах та їх еквiвалентах у звiтному перiодi. Для визначення обсягу руху грошових коштiв Компанiя застосовує прямий метод.</w:t>
      </w:r>
      <w:r>
        <w:rPr>
          <w:rFonts w:ascii="Times New Roman CYR" w:hAnsi="Times New Roman CYR" w:cs="Times New Roman CYR"/>
          <w:kern w:val="0"/>
        </w:rPr>
        <w:t xml:space="preserve"> Прямий метод вимагає постiйного накопичення даних про обороти (надходження i вибуття) грошових коштiв за напрямами. </w:t>
      </w:r>
    </w:p>
    <w:p w14:paraId="0C55600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251D6F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Звiт про рух грошових коштiв за 2024 рiк складено за вимогами МСБО 7 "Звiт про рух грошових коштiв" за прямим методом. У звiтi вiдображений рух грошових коштiв вiд операцiйної, iнвестицiйної та фiнансової дiяльностi компанiї. Форма звiту складається з таких основних показникiв: "Рух коштiв у результатi операцiйної дiяльностi", "Рух коштiв у результатi iнвестицiйної дiяльностi", "Рух коштiв у результатi фiнансової дiяльностi".</w:t>
      </w:r>
    </w:p>
    <w:p w14:paraId="58AFB2B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76713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Операцiйна дiяльнiсть полягає в отриманнi прибутку вiд основної дiяльностi.</w:t>
      </w:r>
    </w:p>
    <w:p w14:paraId="7869E85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2029F4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Iнвестицiйна дiяльнiсть - це цiлеспрямовано здiйснюваний процес формування необхiдних iнвестицiйних ресурсiв, збалансований вiдповiдно до обраних параметрiв iнвестицiйної програми на основi вибору ефективних об'єктiв iнвестування та забезпечення їх реалiзацiї.</w:t>
      </w:r>
    </w:p>
    <w:p w14:paraId="09A458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0D2E9F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Фiнансова дiяльнiсть Компанiї спрямована на вирiшення таких основних завдань:</w:t>
      </w:r>
    </w:p>
    <w:p w14:paraId="3665F97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11F996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фiнансове забезпечення поточної виробничо-господарської дiяльностi;</w:t>
      </w:r>
    </w:p>
    <w:p w14:paraId="344BF3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пошук резервiв збiльшення доходiв, прибутку, пiдвищення рентабельностi та платоспроможностi.</w:t>
      </w:r>
    </w:p>
    <w:p w14:paraId="60B851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A1F6D6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Чистий рух грошових коштiв та їх еквiвалентiв дорiвнює сумi таких статей:</w:t>
      </w:r>
    </w:p>
    <w:p w14:paraId="42B4F28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2C893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чистi грошовi кошти, отриманi вiд операцiйної дiяльностi, використанi в операцiйнiй дiяльностi;</w:t>
      </w:r>
    </w:p>
    <w:p w14:paraId="53D2AEF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чистi грошовi кошти, отриманi вiд iнвестицiйної дiяльностi, використанi в iнвестицiйнiй дiяльностi;</w:t>
      </w:r>
    </w:p>
    <w:p w14:paraId="548F32E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чистi грошовi кошти, отриманi вiд фiнансової дiяльностi, використанi у фiнансовiй дiяльностi.</w:t>
      </w:r>
    </w:p>
    <w:p w14:paraId="14A023A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E849A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Грошовi кошти та їх еквiваленти на кiнець року дорiвнюють сумi таких статей:</w:t>
      </w:r>
    </w:p>
    <w:p w14:paraId="2033A2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7E2AF2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грошовi кошти та їх еквiваленти на початок року; </w:t>
      </w:r>
    </w:p>
    <w:p w14:paraId="4E658A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чистий рух грошових коштiв та їх еквiвалентiв за звiтний перiод;</w:t>
      </w:r>
    </w:p>
    <w:p w14:paraId="286E52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вплив змiни валютних курсiв на залишок коштiв.</w:t>
      </w:r>
    </w:p>
    <w:p w14:paraId="2B4F303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7FA7A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Чистий рух грошових коштiв за звiтний перiод склав 19 621 тис. грн, за 2023 рiк (1 696)  тис. грн. Вплив змiни валютних курсiв в поточному роцi на залишок коштiв складає 9 тис. грн, за 2024 рiк 5 тис. грн. Залишок коштiв на 31 грудня 2023 р. становить 1 732 тис. грн, на 31 грудня 2024 р. становить 21 358 тис. грн.</w:t>
      </w:r>
    </w:p>
    <w:p w14:paraId="7F4371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96D3C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2.16.</w:t>
      </w:r>
      <w:r>
        <w:rPr>
          <w:rFonts w:ascii="Times New Roman CYR" w:hAnsi="Times New Roman CYR" w:cs="Times New Roman CYR"/>
          <w:kern w:val="0"/>
        </w:rPr>
        <w:tab/>
        <w:t>УПРАВЛIННЯ ФIНАНСОВИМИ ТА СТРАХОВИМИ РИЗИКАМИ</w:t>
      </w:r>
    </w:p>
    <w:p w14:paraId="4EAEA42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CDC014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процесi здiйснення страхової дiяльностi Компанiя бере на себе ризик виникнення збиткiв вiд фiзичних та юридичних осiб. Беручи на себе ризики, Компанiя пiддається невизначеностi щодо моменту виплати страхового вiдшкодування та розмiру збитку за умовами договорiв страхування.</w:t>
      </w:r>
    </w:p>
    <w:p w14:paraId="3F2AA2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1BBB0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Страховиком контролюються такi класи ризикiв:</w:t>
      </w:r>
    </w:p>
    <w:p w14:paraId="7876DF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370CEF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Андерайтинговi - ризики, пов'язанi з укладанням договорiв страхування:</w:t>
      </w:r>
    </w:p>
    <w:p w14:paraId="19C093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BF2F08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 </w:t>
      </w:r>
      <w:r>
        <w:rPr>
          <w:rFonts w:ascii="Times New Roman CYR" w:hAnsi="Times New Roman CYR" w:cs="Times New Roman CYR"/>
          <w:kern w:val="0"/>
        </w:rPr>
        <w:tab/>
        <w:t>Ризик збiльшення рiвня смертностi - ризик, викликаний коливанням показникiв смертностi, у разi, якщо зростання показникiв смертностi призводить до зростання вартостi зобов'язань Компанiї;</w:t>
      </w:r>
    </w:p>
    <w:p w14:paraId="0202F2D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збiльшення тривалостi життя - ризик, викликаний коливанням показникiв смертностi, у разi, якщо спадання показникiв смертностi призводить до зростання вартостi зобов'язань Компанiї;</w:t>
      </w:r>
    </w:p>
    <w:p w14:paraId="462BF77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непрацездатностi та шкоди здоров'ю - ризик, викликаний коливанням показникiв тимчасової втрати працездатностi, встановлення iнвалiдностi або отримання травматичних ушкоджень та/або функцiональних розладiв здоров'я;</w:t>
      </w:r>
    </w:p>
    <w:p w14:paraId="1FC1F2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збiльшення витрат на ведення справи - ризик, викликаний зростанням видаткiв, пов'язаних з обслуговуванням договорiв страхування та перестрахування;</w:t>
      </w:r>
    </w:p>
    <w:p w14:paraId="6E7EB1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катастроф - ризик, викликаний неточнiстю прогнозiв настання надзвичайних подiй та оцiнок їх наслiдкiв;</w:t>
      </w:r>
    </w:p>
    <w:p w14:paraId="0D79685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розiрвання договорiв - ризик, викликаний коливаннями спiввiдношення кiлькостi достроково припинених договорiв страхування до загальної кiлькостi укладених договорiв;</w:t>
      </w:r>
    </w:p>
    <w:p w14:paraId="05A38B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E28773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Ринковi - ризики, пов'язанi iз зовнiшнiм середовищем i ринками, на яких працює Компанiя, якi можуть призвести до змiни ринкової вартостi фiнансових iнструментiв або змiни в ринкових iндикаторах, що можуть вплинути на величину активiв та/або зобов'язань Страховика:</w:t>
      </w:r>
    </w:p>
    <w:p w14:paraId="21724F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96759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Ризик iнвестицiй в акцiї - ризик, пов'язаний iз чутливiстю вартостi активiв, зобов'язань та фiнансових iнструментiв страховика до коливання ринкової вартостi акцiй; </w:t>
      </w:r>
    </w:p>
    <w:p w14:paraId="4CE01E3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процентної ставки - ризик, пов'язаний iз чутливiстю вартостi активiв та зобов'язань страховика до коливання вартостi позикових коштiв;</w:t>
      </w:r>
    </w:p>
    <w:p w14:paraId="4CF42B1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спреду - ризик, пов'язаний iз чутливiстю активiв та зобов'язань страховика до коливання рiзницi в доходностi мiж облiгацiями пiдприємств та державних облiгацiй України з тим самим (або близьким) термiном до погашення;</w:t>
      </w:r>
    </w:p>
    <w:p w14:paraId="4E2564D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Майновий ризик - ризик, пов'язаний iз чутливiстю вартостi активiв та зобов'язань страховика до коливання ринкових цiн на нерухомiсть;</w:t>
      </w:r>
    </w:p>
    <w:p w14:paraId="0B9AB6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ринкової концентрацiї - ризик, пов'язаний iз недостатньою диверсифiкованiстю портфеля активiв або у зв'язку зi значним впливом одного або кiлькох емiтентiв цiнних паперiв на стан активiв;</w:t>
      </w:r>
    </w:p>
    <w:p w14:paraId="49607B2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Валютний ризик - ризик, пов'язаний iз чутливiстю вартостi активiв та зобов'язань страховика до коливання курсiв обмiну валют;</w:t>
      </w:r>
    </w:p>
    <w:p w14:paraId="1562280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Валютний ризик виникає у випадках, коли наявнi або прогнозованi активи, вираженi в якiй-небудь iноземнiй валютi, бiльше або менше по величинi наявних або прогнозованих зобов'язань, виражених у тiй же валютi.</w:t>
      </w:r>
    </w:p>
    <w:p w14:paraId="71A603E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8F0CF0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Активи, зобов'язання, вираженi у валютi, загалом складають незначну частину в цiлому активiв та зобов'язань, тому в умовах прогнозованого зростання валютного курсу валютний ризик не має негативного впливу на фiнансовий стан Компанiї.</w:t>
      </w:r>
    </w:p>
    <w:p w14:paraId="1943CB4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8D9A3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Ризики дефолту контрагента - ризик неспроможностi контрагента (перестраховика, боржника та будь-якого дебiтора) виконати взятi на себе будь-якi договiрнi зобов'язання перед страховиком:</w:t>
      </w:r>
    </w:p>
    <w:p w14:paraId="3058CD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9C70BE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невиконання своїх зобов'язань Страхувальником/Перестрахувальником - ризик невиконання Страхувальника/Перестрахувальника взятих на себе будь-яких договiрних зобов'язань перед Компанiєю;</w:t>
      </w:r>
    </w:p>
    <w:p w14:paraId="441FAB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невиконання своїх зобов'язань Перестраховиком - ризик невиконання Перестраховиком взятих на себе будь-яких договiрних зобов'язань перед Компанiєю;</w:t>
      </w:r>
    </w:p>
    <w:p w14:paraId="0E0AE0A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Ризик невиконання своїх зобов'язань iнших договiрних сторiн - ризик невиконання iнших договiрних сторiн взятих на себе будь-яких </w:t>
      </w:r>
      <w:r>
        <w:rPr>
          <w:rFonts w:ascii="Times New Roman CYR" w:hAnsi="Times New Roman CYR" w:cs="Times New Roman CYR"/>
          <w:kern w:val="0"/>
        </w:rPr>
        <w:lastRenderedPageBreak/>
        <w:t>договiрних зобов'язань перед Компанiєю;</w:t>
      </w:r>
    </w:p>
    <w:p w14:paraId="525811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7A417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Операцiйнi - ризики фiнансових втрат страховика, що виникають через недолiки управлiння, процесiв оброблення iнформацiї, контрольованостi, безперервностi роботи, надiйностi технологiй, а також помилки та несанкцiонованi дiї персоналу:</w:t>
      </w:r>
    </w:p>
    <w:p w14:paraId="0D356F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5F41A2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персоналу - ризик фiнансових втрат Компанiї, що виникає через помилки та несанкцiонованi дiї персоналу;</w:t>
      </w:r>
    </w:p>
    <w:p w14:paraId="109C1E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Iнформацiйний ризик - ризик фiнансових втрат страховика, що виникає в результатi недолiкiв надiйностi технологiй;</w:t>
      </w:r>
    </w:p>
    <w:p w14:paraId="504F3BB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Органiзацiйний ризик - ризик фiнансових втрат страховика, що виникає через недолiки управлiння, недосконалiсть бiзнес процесiв;</w:t>
      </w:r>
    </w:p>
    <w:p w14:paraId="0AB2845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Ризик фiзичних втручань - ризик пошкодження матерiальних активiв у результатi стихiйних лих, пожеж, крадiжки, тероризму та iншого;</w:t>
      </w:r>
    </w:p>
    <w:p w14:paraId="7D8AF10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Правовий ризик - ризик втрат в результатi недотримання закону, ризик судових розглядiв;</w:t>
      </w:r>
    </w:p>
    <w:p w14:paraId="564DEF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6F3F1A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Ризики учасника фiнансової групи - ризик негативного впливу на фiнансовий стан страховика-учасника фiнансової групи, викликаний погiршенням фiнансового стану iншого учасника групи, до складу якої входить страховик;</w:t>
      </w:r>
    </w:p>
    <w:p w14:paraId="578B01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Ризик лiквiдностi - ризик неспроможностi страховика реалiзувати активи для погашення зобов'язань точно на момент настання строку погашення;</w:t>
      </w:r>
    </w:p>
    <w:p w14:paraId="0AB9870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Репутацiйний ризик - ризик фiнансових втрат страховика, що виникає через недовiру ринка до якостi послуг Компанiї. </w:t>
      </w:r>
    </w:p>
    <w:p w14:paraId="0A7CC8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Кредитний ризик - максимальний обсяг кредитного ризику, що стосується фiнансових активiв, є балансова вартiсть фiнансових активiв, що вiдображена у статтях звiту про фiнансовий стан (або у детальному аналiзi, який наведено у примiтках). Компанiя здiйснює регулярний монiторинг дебiторської заборгованостi за договорами страхування, перестрахування, а також iншої дебiторської заборгованостi з точки зору її погашення.  З метою зменшення ризику дефолту контрагента за рахунками i депозитами в банках Компанiя роз</w:t>
      </w:r>
      <w:r>
        <w:rPr>
          <w:rFonts w:ascii="Times New Roman CYR" w:hAnsi="Times New Roman CYR" w:cs="Times New Roman CYR"/>
          <w:kern w:val="0"/>
        </w:rPr>
        <w:t>мiщує свої кошти в банках з високими кредитними рейтингами.</w:t>
      </w:r>
    </w:p>
    <w:p w14:paraId="70226EC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401301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31.12.2024 р. всi ризики, що контролюються Страховиком, не потребують мiнiмiзацiї та/або пом'якшення їх наслiдкiв.</w:t>
      </w:r>
    </w:p>
    <w:p w14:paraId="6C9FEF1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EA48A3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9565A3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2.17.</w:t>
      </w:r>
      <w:r>
        <w:rPr>
          <w:rFonts w:ascii="Times New Roman CYR" w:hAnsi="Times New Roman CYR" w:cs="Times New Roman CYR"/>
          <w:kern w:val="0"/>
        </w:rPr>
        <w:tab/>
        <w:t>УМОВНI ЗОБОВ'ЯЗАННЯ</w:t>
      </w:r>
    </w:p>
    <w:p w14:paraId="20D080D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9ECB30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31.12.2024 р., Компанiяне має судових позовiв щодо виконання страховиком зобов'язань за договорами страхування (перестрахування).</w:t>
      </w:r>
    </w:p>
    <w:p w14:paraId="089C8FA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93F9C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Умовнi податковi зобов'язання</w:t>
      </w:r>
    </w:p>
    <w:p w14:paraId="1852D3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C8C810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здiйснює операцiї в однiй податковiй юрисдикцiї. Податкова система України характеризуються наявнiстю часто мiнливих нормативних документiв, якi мiстять неоднозначнi, часом суперечливi формулювання, з можливiстю iнтерпретацiй з боку податкових органiв, якi мають право нараховувати й стягувати значнi штрафи та пенi.</w:t>
      </w:r>
    </w:p>
    <w:p w14:paraId="753DD6D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067908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Керiвництво вважає, що станом на 31 грудня 2023р. та 31 грудня 2024 р. у Компанiї не iснує умовних податкових зобов'язань.</w:t>
      </w:r>
    </w:p>
    <w:p w14:paraId="0021761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EBB6C4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думку Керiвництва, податковi зобов'язання повнiстю вiдображенi в данiй фiнансовiй звiтностi, виходячи з iнтерпретацiї Керiвництвом чинного податкового законодавства України, офiцiйних коментарiв нормативних документiв. Однак, беручи до уваги той факт, що iнтерпретацiї податкового </w:t>
      </w:r>
      <w:r>
        <w:rPr>
          <w:rFonts w:ascii="Times New Roman CYR" w:hAnsi="Times New Roman CYR" w:cs="Times New Roman CYR"/>
          <w:kern w:val="0"/>
        </w:rPr>
        <w:lastRenderedPageBreak/>
        <w:t>законодавства рiзними контролюючими органами можуть вiдрiзнятися вiд думки Керiвництва, у випадку застосування фiнансових стягнень з боку контролюючих органiв, їх вплив на фiнансовий стан Компанiї може бути iстотним.</w:t>
      </w:r>
    </w:p>
    <w:p w14:paraId="1734B9A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CC415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2.18.</w:t>
      </w:r>
      <w:r>
        <w:rPr>
          <w:rFonts w:ascii="Times New Roman CYR" w:hAnsi="Times New Roman CYR" w:cs="Times New Roman CYR"/>
          <w:kern w:val="0"/>
        </w:rPr>
        <w:tab/>
        <w:t>ОПЕРАЦIЇ З ПОВ'ЯЗАНИМИ СТОРОНАМИ</w:t>
      </w:r>
    </w:p>
    <w:p w14:paraId="6980D3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E47A22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Пов'язаними сторонами Компанiї вважаються: </w:t>
      </w:r>
    </w:p>
    <w:p w14:paraId="6D235C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09C86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пiдприємства i фiзичнi особи, якi прямо або опосередковано здiйснюють контроль Компанiї або суттєво впливають на її дiяльнiсть, а також близькi члени родини таких фiзичних осiб.</w:t>
      </w:r>
    </w:p>
    <w:p w14:paraId="0FDDE7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F0BD1C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 процесi оцiнки операцiй мiж пов'язаними сторонами Компанiя використовує:</w:t>
      </w:r>
    </w:p>
    <w:p w14:paraId="137B667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015E68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метод порiвняльної неконтрольованої цiни (застосовується цiна, яка визначається за цiною на аналогiчну готову продукцiю (товари, роботи, послуги), що реалiзується непов'язаному з продавцем покупцевi за звичайних умов дiяльностi).</w:t>
      </w:r>
    </w:p>
    <w:p w14:paraId="633A7F7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6390D0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Перелiк пов'язаних сторiн Компанiї станом на 31.12.2024 р. та на 31.12.2023 р.:</w:t>
      </w:r>
    </w:p>
    <w:p w14:paraId="65B616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57977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провiдний управлiнський персонал;</w:t>
      </w:r>
    </w:p>
    <w:p w14:paraId="6FE73D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АТ "СК "IНГО" та компанiї, що перебувають пiд його контролем;</w:t>
      </w:r>
    </w:p>
    <w:p w14:paraId="153429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компанiї, якi входять до банкiвської групи "Кредит Днiпро".</w:t>
      </w:r>
    </w:p>
    <w:p w14:paraId="0D30743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6E676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Вiдносини контролю, стан корпоративного управлiння</w:t>
      </w:r>
    </w:p>
    <w:p w14:paraId="225E2D7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20374A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Наглядова рада є органом Компанiї, що здiйснює захист прав акцiонерiв, контролює та регулює дiяльнiсть одноосiбного виконавчого органу Компанiї - Генерального директора. </w:t>
      </w:r>
    </w:p>
    <w:p w14:paraId="299E90D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32688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Генеральний директор дiє вiд iменi Компанiї у межах, установлених Статутом та законодавством України.</w:t>
      </w:r>
    </w:p>
    <w:p w14:paraId="385269C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CB0291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Перевiрку фiнансово-господарської дiяльностi Компанiї проводить Ревiзiйна комiсiя, яка обирається Загальними зборами акцiонерiв.</w:t>
      </w:r>
    </w:p>
    <w:p w14:paraId="1D24591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67B11D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Вiдповiдно до Рiшення Загальних зборiв акцiонерiв вiд 26.04.2023 р., членами Наглядової ради строком на 3 роки були обранi:</w:t>
      </w:r>
    </w:p>
    <w:p w14:paraId="0A672A7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Гордiєнко Iгор Миколайович;</w:t>
      </w:r>
    </w:p>
    <w:p w14:paraId="32D4B8C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Мацак Олександр Миколайович;</w:t>
      </w:r>
    </w:p>
    <w:p w14:paraId="25C252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Шевченко Вiктор Васильович.</w:t>
      </w:r>
    </w:p>
    <w:p w14:paraId="2ADD7A1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Колiсецька Людмила Олександрiвна</w:t>
      </w:r>
    </w:p>
    <w:p w14:paraId="0DA2B8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36938E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членiв Наглядової ради 26.04.2023 р. було затверджено Положення, яке регулює повноваження i основнi обов'язки, компетенцiї i порядок прийняття рiшень.</w:t>
      </w:r>
    </w:p>
    <w:p w14:paraId="55C613E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2AF77F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Дiяльнiсть ради Компанiї вiдповiдає всiм вимогам законодавства, статуту i внутрiшнiх положень. Комiтети не створювалися.</w:t>
      </w:r>
    </w:p>
    <w:p w14:paraId="73D038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16196E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Операцiї з вищим Керiвництвом (Правлiнням)</w:t>
      </w:r>
    </w:p>
    <w:p w14:paraId="68B3E1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7DC259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 складу винагород вищому Керiвництву, якi включенi до складу адмiнiстративних витрат, входять вiдрахування по заробiтнiй платi та єдиний соцiальний внесок.</w:t>
      </w:r>
    </w:p>
    <w:p w14:paraId="339B93A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27D7B6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2023 рiк виплати управлiнському персоналу Компанiї склали 1 218 тис. грн, в тому числi заробiтна плата - 998,0 тис. грн, єдиний соцiальний внесок - 220 тис. грн.</w:t>
      </w:r>
    </w:p>
    <w:p w14:paraId="52F3647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E634CC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2024 рiк виплати управлiнському персоналу Компанiї склали 1 054 тис. грн, в тому числi заробiтна плата - 864 тис. грн, єдиний соцiальний внесок - 190 тис. грн.</w:t>
      </w:r>
    </w:p>
    <w:p w14:paraId="228462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BB73EE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не проводила жодних iнших операцiй та не мала балансових залишкiв за операцiями з вищим Керiвництвом у 2024 i 2023 роках, окрiм вищеописаних.</w:t>
      </w:r>
    </w:p>
    <w:p w14:paraId="4FF5D72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54AB5F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Операцiї з пов'язаними сторонами</w:t>
      </w:r>
    </w:p>
    <w:p w14:paraId="3E33F9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AE49C9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F59198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Доходи й витрати вiд операцiй iз пов'язаними сторонами за 2023 i 2024 роки склали:</w:t>
      </w:r>
    </w:p>
    <w:p w14:paraId="7835893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8DCF0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Доходи</w:t>
      </w:r>
      <w:r>
        <w:rPr>
          <w:rFonts w:ascii="Times New Roman CYR" w:hAnsi="Times New Roman CYR" w:cs="Times New Roman CYR"/>
          <w:kern w:val="0"/>
        </w:rPr>
        <w:tab/>
        <w:t>Витрати</w:t>
      </w:r>
    </w:p>
    <w:p w14:paraId="0EFA6E6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ab/>
        <w:t>2023 рiк</w:t>
      </w:r>
    </w:p>
    <w:p w14:paraId="3869DE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50905F5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2023 рiк</w:t>
      </w:r>
    </w:p>
    <w:p w14:paraId="4DA6C4A1"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r>
        <w:rPr>
          <w:rFonts w:ascii="Times New Roman CYR" w:hAnsi="Times New Roman CYR" w:cs="Times New Roman CYR"/>
          <w:kern w:val="0"/>
        </w:rPr>
        <w:tab/>
        <w:t>2024 рiк</w:t>
      </w:r>
    </w:p>
    <w:p w14:paraId="11D2328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(тис. грн.)</w:t>
      </w:r>
    </w:p>
    <w:p w14:paraId="47E916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договорами страхування</w:t>
      </w:r>
      <w:r>
        <w:rPr>
          <w:rFonts w:ascii="Times New Roman CYR" w:hAnsi="Times New Roman CYR" w:cs="Times New Roman CYR"/>
          <w:kern w:val="0"/>
        </w:rPr>
        <w:tab/>
        <w:t>0</w:t>
      </w:r>
      <w:r>
        <w:rPr>
          <w:rFonts w:ascii="Times New Roman CYR" w:hAnsi="Times New Roman CYR" w:cs="Times New Roman CYR"/>
          <w:kern w:val="0"/>
        </w:rPr>
        <w:tab/>
        <w:t>0</w:t>
      </w:r>
      <w:r>
        <w:rPr>
          <w:rFonts w:ascii="Times New Roman CYR" w:hAnsi="Times New Roman CYR" w:cs="Times New Roman CYR"/>
          <w:kern w:val="0"/>
        </w:rPr>
        <w:tab/>
        <w:t>44</w:t>
      </w:r>
      <w:r>
        <w:rPr>
          <w:rFonts w:ascii="Times New Roman CYR" w:hAnsi="Times New Roman CYR" w:cs="Times New Roman CYR"/>
          <w:kern w:val="0"/>
        </w:rPr>
        <w:tab/>
        <w:t>59</w:t>
      </w:r>
    </w:p>
    <w:p w14:paraId="54221AB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договорами доручення (комiсiї)</w:t>
      </w:r>
      <w:r>
        <w:rPr>
          <w:rFonts w:ascii="Times New Roman CYR" w:hAnsi="Times New Roman CYR" w:cs="Times New Roman CYR"/>
          <w:kern w:val="0"/>
        </w:rPr>
        <w:tab/>
      </w:r>
      <w:r>
        <w:rPr>
          <w:rFonts w:ascii="Times New Roman CYR" w:hAnsi="Times New Roman CYR" w:cs="Times New Roman CYR"/>
          <w:kern w:val="0"/>
        </w:rPr>
        <w:tab/>
        <w:t>-</w:t>
      </w:r>
      <w:r>
        <w:rPr>
          <w:rFonts w:ascii="Times New Roman CYR" w:hAnsi="Times New Roman CYR" w:cs="Times New Roman CYR"/>
          <w:kern w:val="0"/>
        </w:rPr>
        <w:tab/>
      </w:r>
      <w:r>
        <w:rPr>
          <w:rFonts w:ascii="Times New Roman CYR" w:hAnsi="Times New Roman CYR" w:cs="Times New Roman CYR"/>
          <w:kern w:val="0"/>
        </w:rPr>
        <w:tab/>
        <w:t>-</w:t>
      </w:r>
    </w:p>
    <w:p w14:paraId="3B674E9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53F09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Всього у звiтностi за 2024 рiк вiдображенi операцiї з пов'язаними сторонами: </w:t>
      </w:r>
    </w:p>
    <w:p w14:paraId="5E6D2B8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D2BD71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Акцiонери</w:t>
      </w:r>
      <w:r>
        <w:rPr>
          <w:rFonts w:ascii="Times New Roman CYR" w:hAnsi="Times New Roman CYR" w:cs="Times New Roman CYR"/>
          <w:kern w:val="0"/>
        </w:rPr>
        <w:tab/>
        <w:t>Показники</w:t>
      </w:r>
    </w:p>
    <w:p w14:paraId="35E7B9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Залишок кредиторської заборгованостi з пов'язаними особами на 31.12.2023 р.                  (тис. грн.) , у тому числi: </w:t>
      </w:r>
      <w:r>
        <w:rPr>
          <w:rFonts w:ascii="Times New Roman CYR" w:hAnsi="Times New Roman CYR" w:cs="Times New Roman CYR"/>
          <w:kern w:val="0"/>
        </w:rPr>
        <w:tab/>
        <w:t>0,0</w:t>
      </w:r>
    </w:p>
    <w:p w14:paraId="15D70B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Залишок дебiторської заборгованостi з пов'язаними особами на 31.12.2023 р.                        (тис. грн.), у тому числi:</w:t>
      </w:r>
      <w:r>
        <w:rPr>
          <w:rFonts w:ascii="Times New Roman CYR" w:hAnsi="Times New Roman CYR" w:cs="Times New Roman CYR"/>
          <w:kern w:val="0"/>
        </w:rPr>
        <w:tab/>
        <w:t>0,0</w:t>
      </w:r>
    </w:p>
    <w:p w14:paraId="75F18E5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Доходи за 2023 рiк, отриманi вiд страхування:</w:t>
      </w:r>
      <w:r>
        <w:rPr>
          <w:rFonts w:ascii="Times New Roman CYR" w:hAnsi="Times New Roman CYR" w:cs="Times New Roman CYR"/>
          <w:kern w:val="0"/>
        </w:rPr>
        <w:tab/>
      </w:r>
    </w:p>
    <w:p w14:paraId="4EED7FA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АТ "СК "IНГО ", зокрема:</w:t>
      </w:r>
      <w:r>
        <w:rPr>
          <w:rFonts w:ascii="Times New Roman CYR" w:hAnsi="Times New Roman CYR" w:cs="Times New Roman CYR"/>
          <w:kern w:val="0"/>
        </w:rPr>
        <w:tab/>
        <w:t>0,0</w:t>
      </w:r>
    </w:p>
    <w:p w14:paraId="08464B5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за договорами страхування</w:t>
      </w:r>
      <w:r>
        <w:rPr>
          <w:rFonts w:ascii="Times New Roman CYR" w:hAnsi="Times New Roman CYR" w:cs="Times New Roman CYR"/>
          <w:kern w:val="0"/>
        </w:rPr>
        <w:tab/>
      </w:r>
    </w:p>
    <w:p w14:paraId="0BC4E1C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за договорами доручення (комiсiї)</w:t>
      </w:r>
      <w:r>
        <w:rPr>
          <w:rFonts w:ascii="Times New Roman CYR" w:hAnsi="Times New Roman CYR" w:cs="Times New Roman CYR"/>
          <w:kern w:val="0"/>
        </w:rPr>
        <w:tab/>
      </w:r>
    </w:p>
    <w:p w14:paraId="1B1690B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Витрати за 2024 рiк (тис. грн.):</w:t>
      </w:r>
      <w:r>
        <w:rPr>
          <w:rFonts w:ascii="Times New Roman CYR" w:hAnsi="Times New Roman CYR" w:cs="Times New Roman CYR"/>
          <w:kern w:val="0"/>
        </w:rPr>
        <w:tab/>
        <w:t>59,0</w:t>
      </w:r>
    </w:p>
    <w:p w14:paraId="4BB9CAB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АТ "СК "IНГО ", зокрема:</w:t>
      </w:r>
      <w:r>
        <w:rPr>
          <w:rFonts w:ascii="Times New Roman CYR" w:hAnsi="Times New Roman CYR" w:cs="Times New Roman CYR"/>
          <w:kern w:val="0"/>
        </w:rPr>
        <w:tab/>
      </w:r>
    </w:p>
    <w:p w14:paraId="31A398D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Страхування автомобiля</w:t>
      </w:r>
      <w:r>
        <w:rPr>
          <w:rFonts w:ascii="Times New Roman CYR" w:hAnsi="Times New Roman CYR" w:cs="Times New Roman CYR"/>
          <w:kern w:val="0"/>
        </w:rPr>
        <w:tab/>
      </w:r>
    </w:p>
    <w:p w14:paraId="6C2B445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2E9044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2.19. </w:t>
      </w:r>
      <w:r>
        <w:rPr>
          <w:rFonts w:ascii="Times New Roman CYR" w:hAnsi="Times New Roman CYR" w:cs="Times New Roman CYR"/>
          <w:kern w:val="0"/>
        </w:rPr>
        <w:tab/>
        <w:t>СИСТЕМА ВНУТРIШНЬОГО КОНТРОЛЮ</w:t>
      </w:r>
    </w:p>
    <w:p w14:paraId="5056402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7E81D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2.19.1. Адекватнiсть резервiв</w:t>
      </w:r>
    </w:p>
    <w:p w14:paraId="3ED35C7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D8FD84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Вiдповiдно до вимог МСФЗ (IFRS) 4 "Договори страхування" проведено тест адекватностi страхових резервiв станом на 31.12.2023 р. (надалi - Тест).</w:t>
      </w:r>
    </w:p>
    <w:p w14:paraId="22686C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B1D85E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Розрахунок страхових резервiв проводився на основi чинного Положення про формування резервiв iз страхування життя Компанiї.</w:t>
      </w:r>
    </w:p>
    <w:p w14:paraId="56A7E2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1B9E51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проведення Тесту на адекватнiсть резервiв довгострокових зобов'язань (математичних) розрахунки проводились методом дисконтування грошових потокiв, застосовувались загальноприйнятi актуарнi методи та методи математичного моделювання комбiнованої збитковостi.</w:t>
      </w:r>
    </w:p>
    <w:p w14:paraId="539727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68D0930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 дисконтуваннi використовувалась ставка дохiдностi 4%.</w:t>
      </w:r>
    </w:p>
    <w:p w14:paraId="24A4A1B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ADD028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Для проведення тесту використовувались усi чиннi договори страхування Компанiї станом на 31.12.2023 р. </w:t>
      </w:r>
    </w:p>
    <w:p w14:paraId="6BB805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DB08DF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Для проведення розрахункiв страховий портфель подiлений на такi портфелi, якi в цiлому наражаються на схожi ризики та управляються разом як єдиний портфель:</w:t>
      </w:r>
    </w:p>
    <w:p w14:paraId="494387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EAEADF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Iндивiдуальнi НАКОПИЧУВАЛЬНI договори страхування з додатковими страховими ризиками та груповi НАКОПИЧУВАЛЬНI договори страхування з довiчними ануїтетними виплатами (надалi - Портфель 1);</w:t>
      </w:r>
    </w:p>
    <w:p w14:paraId="4E53FED8"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Груповi та iндивiдуальнi РИЗИКОВI договори страхування (надалi - Портфель 2). Оцiнка смертностi, страхових виплат за додатковими ризиками та дострокового припинення договорiв страхування проводились актуарними методами на основi таблицi смертностi (згiдно з Правилами страхування) та з урахуванням наявного досвiду Компанiї по даному страховому портфелю.</w:t>
      </w:r>
    </w:p>
    <w:p w14:paraId="07648DD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7A1739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моделi були врахованi адмiнiстративнi витрати за пiдсумками 2023 року.</w:t>
      </w:r>
    </w:p>
    <w:p w14:paraId="47DCAB4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7A3451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висновком актуарiя, за пiдсумками проведеного Тесту адекватностi страхових резервiв станом на 31.12.2023 р. Компанiя сформувала резерви у достатньому обсязi.</w:t>
      </w:r>
    </w:p>
    <w:p w14:paraId="4D9F5B9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58901E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2.19.2. Внутрiшнiй аудит</w:t>
      </w:r>
    </w:p>
    <w:p w14:paraId="241BADA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4E291E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Проведення внутрiшнiх перевiрок у Компанiї протягом 2023 року здiйснювалось вiддiлом внутрiшнього аудиту АТ "СК "IНГО", згiдно iз затвердженим планом перевiрок.</w:t>
      </w:r>
    </w:p>
    <w:p w14:paraId="13040C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D5CC22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Перевiренi такi питання:</w:t>
      </w:r>
    </w:p>
    <w:p w14:paraId="0A9234B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5FDB17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органiзацiя страхування, дотримання вимог страхового законодавства в частинi оформлення страхової документацiї, дотримання тарифної полiтики, забезпечення порядку оприбуткування страхових платежiв тощо;</w:t>
      </w:r>
    </w:p>
    <w:p w14:paraId="108EF42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органiзацiя спiвпрацi та розрахункiв зi страховими агентами, страховими посередниками;</w:t>
      </w:r>
    </w:p>
    <w:p w14:paraId="5739840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дотримання вимог Закону України "Про запобiгання та протидiю легалiзацiї (вiдмиванню) доходiв, одержаних злочинним шляхом, або фiнансуванню тероризму" вiд 14.10.2014 р. № 1702-VII;</w:t>
      </w:r>
    </w:p>
    <w:p w14:paraId="548A4CF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органiзацiя та ведення бухгалтерського облiку, зокрема, контроль за наявнiстю, своєчаснiстю та якiстю оформлення первинних документiв, контроль витрат за господарськими операцiями та використання коштiв Компанiї тощо;</w:t>
      </w:r>
    </w:p>
    <w:p w14:paraId="58B8874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iншi питання.</w:t>
      </w:r>
    </w:p>
    <w:p w14:paraId="3A2BD62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EC2E0E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Налагоджено контроль за виконанням структурними пiдроздiлами вказiвок i рекомендацiй щодо виправлення недолiкiв, виявлених в ходi перевiрок.</w:t>
      </w:r>
    </w:p>
    <w:p w14:paraId="553A8569"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11CED4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III. </w:t>
      </w:r>
      <w:r>
        <w:rPr>
          <w:rFonts w:ascii="Times New Roman CYR" w:hAnsi="Times New Roman CYR" w:cs="Times New Roman CYR"/>
          <w:kern w:val="0"/>
        </w:rPr>
        <w:tab/>
        <w:t>ПОДIЇ ПIСЛЯ ЗВIТНОГО ПЕРIОДУ</w:t>
      </w:r>
    </w:p>
    <w:p w14:paraId="0DC7985C"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3D2CB3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24 лютого 2022 року у зв'язку з вiйськовою агресiєю Росiйської Федерацiї проти України, тимчасово, на перiод дiї правового режиму воєнного стану можуть обмежуватися конституцiйнi права i свободи людини i громадянина, передбаченi Конституцiєю України. Також уведено тимчасовi обмеження прав i законних iнтересiв юридичних осiб в межах та обсязi, що необхiднi для забезпечення можливостi запровадження та здiйснення заходiв правового режиму воєнного стану, якi передбаченi частиною першою статтi 8 Закону України "</w:t>
      </w:r>
      <w:r>
        <w:rPr>
          <w:rFonts w:ascii="Times New Roman CYR" w:hAnsi="Times New Roman CYR" w:cs="Times New Roman CYR"/>
          <w:kern w:val="0"/>
        </w:rPr>
        <w:t xml:space="preserve">Про правовий режим воєнного стану". </w:t>
      </w:r>
    </w:p>
    <w:p w14:paraId="76F0EF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1422F16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Ключовим припущенням прогнозу є суттєве зниження безпекових ризикiв iз початку 2024 року. Основними ризиками залишаються тривалiший термiн повномасштабної воєнної агресiї росiйської федерацiї, а також подальше руйнування об'єктiв критичної iнфраструктури.</w:t>
      </w:r>
    </w:p>
    <w:p w14:paraId="1B94D08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Нацiональний банк переглянув ключове припущення прогнозу щодо безпекової ситуацiї з огляду на iнтенсифiкацiю бойових дiй та посилення терактiв проти критичної iнфраструктури. Базовий сценарiй нового макропрогнозу передбачає вiдчутне зменшення безпекових ризикiв з початку наступного року. Вiдповiдно вiдтермiновано у часi й повноцiнне розблокування морських портiв та зниження премiї за ризик України. </w:t>
      </w:r>
    </w:p>
    <w:p w14:paraId="371043B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6020B83"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 наступнi роки iнфляцiя сповiльнюватиметься швидше завдяки зниженню безпекових ризикiв, повноцiнному вiдновленню логiстики та збiльшенню врожаїв.</w:t>
      </w:r>
    </w:p>
    <w:p w14:paraId="17806022"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Нацiональний банк очiкує, що вона зменшиться до 10,4% у 2024 роцi та 6,7% у 2025 роцi. Основний внесок в iнфляцiю в цi роки матиме адмiнiстративна компонента через необхiднiсть приведення тарифiв на житлово-комунальнi послуги до ринкових рiвнiв.</w:t>
      </w:r>
    </w:p>
    <w:p w14:paraId="32F4AD07"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Девальвацiя української гривнi</w:t>
      </w:r>
    </w:p>
    <w:p w14:paraId="6F9EB39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2023 рiк українська гривня увiйшла до десятки найсильнiших валют свiту. Готiвковий курс гривнi до долара з останнi 12 мiсяцiв змiцнився на 7% з 40,0 грн/дол. до 37,4 грн/дол. Така стабiльнiсть була досягнута вправними дiями НБУ та багатомiльярдною фiнансовою пiдтримкою партнерiв. </w:t>
      </w:r>
    </w:p>
    <w:p w14:paraId="365D989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Девальвацiя зрушена й надалi, прогнозується: у 2024 роцi з 41,2 грн/$ до 41,9 грн/$. А у 2025-му - з 41,9 грн/$ до 42,3 грн/$. При цьому НБУ, як i ранiше, пiдкреслив, що не розраховує конценсус-прогноз самостiйно, а спирається на оцiнку Focus Economics.</w:t>
      </w:r>
    </w:p>
    <w:p w14:paraId="3FB33A0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9C7388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 думку керiвництва Компанiї, не прогнозованiсть коливання гривнi до долара США та євро продовжуватиме завдавати несуттєвого негативного впливу на операцiйну дiяльнiсть Товариства.</w:t>
      </w:r>
    </w:p>
    <w:p w14:paraId="4AD150AA"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момент затвердження цiєї фiнансової звiтностi, керiвництво не може оцiнити подальший вплив даних подiй на операцiйну та господарську дiяльнiсть Товариства та його майбутню фiнансову звiтнiсть. </w:t>
      </w:r>
    </w:p>
    <w:p w14:paraId="5B1062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Оцiнка подiй пiсля дати балансу вiдповiдним чином буде проведена по закiнченнi воєнних дiй. </w:t>
      </w:r>
    </w:p>
    <w:p w14:paraId="1EA457F0"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21CE546D"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не має пiдстав, намiрiв припинення дiяльностi у 2025 роцi.</w:t>
      </w:r>
    </w:p>
    <w:p w14:paraId="0389A2F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523D3DC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не вносила коригування до фiнансової звiтностi станом на 31.12.2024 року з огляду на вищезазначенi подiї та можливостi щодо викликiв/провокувань ризикiв.</w:t>
      </w:r>
    </w:p>
    <w:p w14:paraId="12791FD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BC8502E"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Нi акцiонери, нi iншi особи не мають права вносити змiни до цiєї фiнансової звiтностi пiсля її затвердження до випуску. </w:t>
      </w:r>
    </w:p>
    <w:p w14:paraId="5EB8C7F4"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1DBD44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Керiвник </w:t>
      </w:r>
      <w:r>
        <w:rPr>
          <w:rFonts w:ascii="Times New Roman CYR" w:hAnsi="Times New Roman CYR" w:cs="Times New Roman CYR"/>
          <w:kern w:val="0"/>
        </w:rPr>
        <w:tab/>
        <w:t xml:space="preserve">                                                      Колiсецька Людмила </w:t>
      </w:r>
    </w:p>
    <w:p w14:paraId="196B6C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4922DA96"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Головний бухгалтер                                                     Рулiкiвська Наталiя</w:t>
      </w:r>
      <w:r>
        <w:rPr>
          <w:rFonts w:ascii="Times New Roman CYR" w:hAnsi="Times New Roman CYR" w:cs="Times New Roman CYR"/>
          <w:kern w:val="0"/>
        </w:rPr>
        <w:tab/>
      </w:r>
    </w:p>
    <w:p w14:paraId="59288235"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021823AB"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pPr>
    </w:p>
    <w:p w14:paraId="731D069F" w14:textId="77777777" w:rsidR="00DA0975" w:rsidRDefault="00DA0975">
      <w:pPr>
        <w:widowControl w:val="0"/>
        <w:autoSpaceDE w:val="0"/>
        <w:autoSpaceDN w:val="0"/>
        <w:adjustRightInd w:val="0"/>
        <w:spacing w:after="0" w:line="240" w:lineRule="auto"/>
        <w:jc w:val="both"/>
        <w:rPr>
          <w:rFonts w:ascii="Times New Roman CYR" w:hAnsi="Times New Roman CYR" w:cs="Times New Roman CYR"/>
          <w:kern w:val="0"/>
        </w:rPr>
        <w:sectPr w:rsidR="00000000">
          <w:pgSz w:w="16838" w:h="11906" w:orient="landscape"/>
          <w:pgMar w:top="570" w:right="720" w:bottom="570" w:left="720" w:header="708" w:footer="708" w:gutter="0"/>
          <w:cols w:space="720"/>
          <w:noEndnote/>
        </w:sectPr>
      </w:pPr>
    </w:p>
    <w:p w14:paraId="3B94081C"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p w14:paraId="3907FECD" w14:textId="77777777" w:rsidR="00DA0975" w:rsidRDefault="00DA0975">
      <w:pPr>
        <w:widowControl w:val="0"/>
        <w:autoSpaceDE w:val="0"/>
        <w:autoSpaceDN w:val="0"/>
        <w:adjustRightInd w:val="0"/>
        <w:spacing w:after="0" w:line="240" w:lineRule="auto"/>
        <w:rPr>
          <w:rFonts w:ascii="Times New Roman CYR" w:hAnsi="Times New Roman CYR" w:cs="Times New Roman CYR"/>
          <w:kern w:val="0"/>
        </w:rPr>
      </w:pPr>
    </w:p>
    <w:sectPr w:rsidR="00DA0975">
      <w:pgSz w:w="16838" w:h="11906" w:orient="landscape"/>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03"/>
    <w:rsid w:val="00082B03"/>
    <w:rsid w:val="00B25084"/>
    <w:rsid w:val="00DA09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58F649"/>
  <w14:defaultImageDpi w14:val="0"/>
  <w15:docId w15:val="{3AC5F5F3-435F-49A4-BF00-33714862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125</Pages>
  <Words>183382</Words>
  <Characters>104529</Characters>
  <Application>Microsoft Office Word</Application>
  <DocSecurity>0</DocSecurity>
  <Lines>871</Lines>
  <Paragraphs>574</Paragraphs>
  <ScaleCrop>false</ScaleCrop>
  <Company/>
  <LinksUpToDate>false</LinksUpToDate>
  <CharactersWithSpaces>287337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 Юрій Миколайович</dc:creator>
  <cp:keywords/>
  <dc:description/>
  <cp:lastModifiedBy>Мельник Юрій Миколайович</cp:lastModifiedBy>
  <cp:revision>2</cp:revision>
  <dcterms:created xsi:type="dcterms:W3CDTF">2026-06-21T08:46:00Z</dcterms:created>
  <dcterms:modified xsi:type="dcterms:W3CDTF">2026-06-21T08:46:00Z</dcterms:modified>
</cp:coreProperties>
</file>